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政府信息公开情况统计表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（2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20年</w:t>
      </w:r>
      <w:r>
        <w:rPr>
          <w:rFonts w:eastAsia="方正仿宋_GBK"/>
          <w:sz w:val="32"/>
          <w:szCs w:val="32"/>
        </w:rPr>
        <w:t>1-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）</w:t>
      </w:r>
    </w:p>
    <w:tbl>
      <w:tblPr>
        <w:jc w:val="cent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8"/>
        <w:gridCol w:w="882"/>
        <w:gridCol w:w="796"/>
      </w:tblGrid>
      <w:tr>
        <w:trPr>
          <w:trHeight w:val="425"/>
          <w:tblHeader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    计    指    标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单位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统计数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一、主动公开情况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1088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（一）主动公开政府信息数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（不同渠道和方式公开相同信息计1条）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其中：主动公开规范性文件数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制发规范性文件总数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（二）通过不同渠道和方式公开政府信息的情况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544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1．政府公报公开政府信息数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282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3．政务微博公开政府信息数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4．政务微信公开政府信息数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215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5．政府信息公开统一平台公开政府信息数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tabs>
                <w:tab w:val="left" w:pos="396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47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6．其他方式公开政府信息数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二、回应解读情况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1147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（一）回应公众关注热点或重大舆情数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（不同方式回应同一热点或舆情计1次）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（二）通过不同渠道和方式回应解读的情况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96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1．参加或举办新闻发布会总次数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其中：主要负责同志参加新闻发布会次数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3．政策解读稿件发布数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篇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39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4．微博微信回应事件数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5．其他方式回应事件数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三、依申请公开情况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（一）收到申请数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1．当面申请数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2．传真申请数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3．网络申请数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4．信函申请数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（二）申请办结数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1．按时办结数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2．延期办结数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（三）申请答复数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1．属于已主动公开范围数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3．同意部分公开答复数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4．不同意公开答复数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 　其中：涉及国家秘密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涉及商业秘密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涉及个人隐私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危及国家安全、公共安全、经济安全和社会稳定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不是《条例》所指政府信息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法律法规规定的其他情形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5．不属于本行政机关公开数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6．申请信息不存在数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7．告知作出更改补充数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8．告知通过其他途径办理数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四、行政复议数量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五、行政诉讼数量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（一）维持具体行政行为或者驳回原告诉讼请求数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六、举报投诉数量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bookmarkStart w:id="0" w:name="_GoBack"/>
            <w:bookmarkEnd w:id="0"/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245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七、依申请公开信息收取的费用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八、机构建设和保障经费情况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（一）政府信息公开工作专门机构数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（二）设置政府信息公开查阅点数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（三）从事政府信息公开工作人员数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1．专职人员数（不包括政府公报及政府网站工作人员数）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2．兼职人员数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九、政府信息公开会议和培训情况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（一）召开政府信息公开工作会议或专题会议数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（二）举办各类培训班数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（三）接受培训人员数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</w:tbl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70</TotalTime>
  <Application>Yozo_Office</Application>
  <Pages>4</Pages>
  <Words>1007</Words>
  <Characters>1039</Characters>
  <Lines>209</Lines>
  <Paragraphs>204</Paragraphs>
  <CharactersWithSpaces>1322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单宇阳</dc:creator>
  <cp:lastModifiedBy>Sky123.Org</cp:lastModifiedBy>
  <cp:revision>5</cp:revision>
  <dcterms:created xsi:type="dcterms:W3CDTF">2019-06-03T02:35:00Z</dcterms:created>
  <dcterms:modified xsi:type="dcterms:W3CDTF">2020-05-19T01:23:39Z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