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40" w:lineRule="atLeast"/>
        <w:jc w:val="left"/>
        <w:rPr>
          <w:rFonts w:asciiTheme="minorEastAsia" w:hAnsiTheme="minorEastAsia"/>
          <w:sz w:val="24"/>
        </w:rPr>
      </w:pPr>
    </w:p>
    <w:p>
      <w:pPr>
        <w:tabs>
          <w:tab w:val="left" w:pos="3358"/>
        </w:tabs>
        <w:spacing w:line="140" w:lineRule="atLeast"/>
        <w:rPr>
          <w:rFonts w:asciiTheme="minorEastAsia" w:hAnsiTheme="minorEastAsia"/>
          <w:color w:val="FFFFFF" w:themeColor="background1"/>
          <w:sz w:val="40"/>
          <w:szCs w:val="40"/>
          <w14:textFill>
            <w14:solidFill>
              <w14:schemeClr w14:val="bg1"/>
            </w14:solidFill>
          </w14:textFill>
        </w:rPr>
      </w:pPr>
      <w:r>
        <w:rPr>
          <w:rFonts w:hint="eastAsia" w:asciiTheme="minorEastAsia" w:hAnsiTheme="minorEastAsia"/>
          <w:color w:val="FFFFFF" w:themeColor="background1"/>
          <w:sz w:val="40"/>
          <w:szCs w:val="40"/>
          <w:highlight w:val="blue"/>
          <w14:textFill>
            <w14:solidFill>
              <w14:schemeClr w14:val="bg1"/>
            </w14:solidFill>
          </w14:textFill>
        </w:rPr>
        <w:t>前言</w:t>
      </w:r>
      <w:r>
        <w:rPr>
          <w:rFonts w:hint="eastAsia" w:asciiTheme="minorEastAsia" w:hAnsiTheme="minorEastAsia"/>
          <w:color w:val="FFFFFF" w:themeColor="background1"/>
          <w:sz w:val="40"/>
          <w:szCs w:val="40"/>
          <w14:textFill>
            <w14:solidFill>
              <w14:schemeClr w14:val="bg1"/>
            </w14:solidFill>
          </w14:textFill>
        </w:rPr>
        <w:t xml:space="preserve"> </w:t>
      </w:r>
      <w:r>
        <w:rPr>
          <w:rFonts w:asciiTheme="minorEastAsia" w:hAnsiTheme="minorEastAsia"/>
          <w:color w:val="FFFFFF" w:themeColor="background1"/>
          <w:sz w:val="40"/>
          <w:szCs w:val="40"/>
          <w:highlight w:val="blue"/>
          <w14:textFill>
            <w14:solidFill>
              <w14:schemeClr w14:val="bg1"/>
            </w14:solidFill>
          </w14:textFill>
        </w:rPr>
        <w:t>F</w:t>
      </w:r>
      <w:r>
        <w:rPr>
          <w:rFonts w:hint="eastAsia" w:asciiTheme="minorEastAsia" w:hAnsiTheme="minorEastAsia"/>
          <w:color w:val="FFFFFF" w:themeColor="background1"/>
          <w:sz w:val="40"/>
          <w:szCs w:val="40"/>
          <w:highlight w:val="blue"/>
          <w14:textFill>
            <w14:solidFill>
              <w14:schemeClr w14:val="bg1"/>
            </w14:solidFill>
          </w14:textFill>
        </w:rPr>
        <w:t>oreword</w:t>
      </w:r>
    </w:p>
    <w:p>
      <w:pPr>
        <w:tabs>
          <w:tab w:val="left" w:pos="3358"/>
        </w:tabs>
        <w:spacing w:line="140" w:lineRule="atLeast"/>
        <w:ind w:firstLine="480" w:firstLineChars="200"/>
        <w:rPr>
          <w:rFonts w:asciiTheme="minorEastAsia" w:hAnsiTheme="minorEastAsia"/>
          <w:sz w:val="24"/>
        </w:rPr>
      </w:pPr>
      <w:r>
        <w:rPr>
          <w:rFonts w:hint="eastAsia" w:asciiTheme="minorEastAsia" w:hAnsiTheme="minorEastAsia"/>
          <w:sz w:val="24"/>
        </w:rPr>
        <w:t>营商环境是指</w:t>
      </w:r>
      <w:bookmarkStart w:id="8" w:name="_GoBack"/>
      <w:bookmarkEnd w:id="8"/>
      <w:r>
        <w:rPr>
          <w:rFonts w:hint="eastAsia" w:asciiTheme="minorEastAsia" w:hAnsiTheme="minorEastAsia"/>
          <w:sz w:val="24"/>
        </w:rPr>
        <w:t>企业以及其他从事生产经营活动的组织和个人（统称市场主体）在市场准入、生产经营、退出市场等过程中涉及的有关外部因素和条件。</w:t>
      </w:r>
    </w:p>
    <w:p>
      <w:pPr>
        <w:tabs>
          <w:tab w:val="left" w:pos="3358"/>
        </w:tabs>
        <w:spacing w:line="140" w:lineRule="atLeast"/>
        <w:ind w:firstLine="480" w:firstLineChars="200"/>
        <w:rPr>
          <w:rFonts w:asciiTheme="minorEastAsia" w:hAnsiTheme="minorEastAsia"/>
          <w:sz w:val="24"/>
        </w:rPr>
      </w:pPr>
      <w:r>
        <w:rPr>
          <w:rFonts w:hint="eastAsia" w:asciiTheme="minorEastAsia" w:hAnsiTheme="minorEastAsia"/>
          <w:sz w:val="24"/>
        </w:rPr>
        <w:t xml:space="preserve">The doing-business environment refers to relevant external factors and conditions involved in the process of market access, </w:t>
      </w:r>
      <w:r>
        <w:rPr>
          <w:rFonts w:asciiTheme="minorEastAsia" w:hAnsiTheme="minorEastAsia"/>
          <w:sz w:val="24"/>
        </w:rPr>
        <w:t xml:space="preserve">market withdrawal, </w:t>
      </w:r>
      <w:r>
        <w:rPr>
          <w:rFonts w:hint="eastAsia" w:asciiTheme="minorEastAsia" w:hAnsiTheme="minorEastAsia"/>
          <w:sz w:val="24"/>
        </w:rPr>
        <w:t>production and operation</w:t>
      </w:r>
      <w:r>
        <w:rPr>
          <w:rFonts w:asciiTheme="minorEastAsia" w:hAnsiTheme="minorEastAsia"/>
          <w:sz w:val="24"/>
        </w:rPr>
        <w:t xml:space="preserve"> which are conducted by enterprises </w:t>
      </w:r>
      <w:r>
        <w:rPr>
          <w:rFonts w:hint="eastAsia" w:asciiTheme="minorEastAsia" w:hAnsiTheme="minorEastAsia"/>
          <w:sz w:val="24"/>
        </w:rPr>
        <w:t>as</w:t>
      </w:r>
      <w:r>
        <w:rPr>
          <w:rFonts w:asciiTheme="minorEastAsia" w:hAnsiTheme="minorEastAsia"/>
          <w:sz w:val="24"/>
        </w:rPr>
        <w:t xml:space="preserve"> </w:t>
      </w:r>
      <w:r>
        <w:rPr>
          <w:rFonts w:hint="eastAsia" w:asciiTheme="minorEastAsia" w:hAnsiTheme="minorEastAsia"/>
          <w:sz w:val="24"/>
        </w:rPr>
        <w:t>well</w:t>
      </w:r>
      <w:r>
        <w:rPr>
          <w:rFonts w:asciiTheme="minorEastAsia" w:hAnsiTheme="minorEastAsia"/>
          <w:sz w:val="24"/>
        </w:rPr>
        <w:t xml:space="preserve"> </w:t>
      </w:r>
      <w:r>
        <w:rPr>
          <w:rFonts w:hint="eastAsia" w:asciiTheme="minorEastAsia" w:hAnsiTheme="minorEastAsia"/>
          <w:sz w:val="24"/>
        </w:rPr>
        <w:t xml:space="preserve">as other organizations and individuals engaging in production activities (collectively referred to as </w:t>
      </w:r>
      <w:r>
        <w:rPr>
          <w:rFonts w:asciiTheme="minorEastAsia" w:hAnsiTheme="minorEastAsia"/>
          <w:sz w:val="24"/>
        </w:rPr>
        <w:t xml:space="preserve">the </w:t>
      </w:r>
      <w:r>
        <w:rPr>
          <w:rFonts w:hint="eastAsia" w:asciiTheme="minorEastAsia" w:hAnsiTheme="minorEastAsia"/>
          <w:sz w:val="24"/>
        </w:rPr>
        <w:t xml:space="preserve">market entities). </w:t>
      </w:r>
      <w:r>
        <w:rPr>
          <w:rFonts w:asciiTheme="minorEastAsia" w:hAnsiTheme="minorEastAsia"/>
          <w:sz w:val="24"/>
        </w:rPr>
        <w:t xml:space="preserve"> </w:t>
      </w:r>
    </w:p>
    <w:p>
      <w:pPr>
        <w:tabs>
          <w:tab w:val="left" w:pos="3358"/>
        </w:tabs>
        <w:spacing w:line="140" w:lineRule="atLeast"/>
        <w:ind w:firstLine="480" w:firstLineChars="200"/>
        <w:rPr>
          <w:rFonts w:asciiTheme="minorEastAsia" w:hAnsiTheme="minorEastAsia"/>
          <w:sz w:val="24"/>
        </w:rPr>
      </w:pPr>
      <w:r>
        <w:rPr>
          <w:rFonts w:hint="eastAsia" w:asciiTheme="minorEastAsia" w:hAnsiTheme="minorEastAsia"/>
          <w:sz w:val="24"/>
        </w:rPr>
        <w:t>“获得信贷”包含4个二级指标（合法权利力度指数、信贷信息深度指数、个人征信机构覆盖面、金融征信机构覆盖面）、20 项具体指标。现阶段两组指数被纳入评分系统，两类机构覆盖面仅作披露。在190个参评经济体中，2019年中国整体排名第31位，“获得信贷”排名第 80 位。</w:t>
      </w:r>
    </w:p>
    <w:p>
      <w:pPr>
        <w:tabs>
          <w:tab w:val="left" w:pos="3358"/>
        </w:tabs>
        <w:spacing w:line="140" w:lineRule="atLeast"/>
        <w:ind w:firstLine="480" w:firstLineChars="200"/>
        <w:rPr>
          <w:rFonts w:asciiTheme="minorEastAsia" w:hAnsiTheme="minorEastAsia"/>
          <w:sz w:val="24"/>
        </w:rPr>
      </w:pPr>
      <w:r>
        <w:rPr>
          <w:rFonts w:hint="eastAsia" w:asciiTheme="minorEastAsia" w:hAnsiTheme="minorEastAsia"/>
          <w:sz w:val="24"/>
        </w:rPr>
        <w:t>“Getting Credit”</w:t>
      </w:r>
      <w:r>
        <w:rPr>
          <w:rFonts w:asciiTheme="minorEastAsia" w:hAnsiTheme="minorEastAsia"/>
          <w:sz w:val="24"/>
        </w:rPr>
        <w:t>contains</w:t>
      </w:r>
      <w:r>
        <w:rPr>
          <w:rFonts w:hint="eastAsia" w:asciiTheme="minorEastAsia" w:hAnsiTheme="minorEastAsia"/>
          <w:sz w:val="24"/>
        </w:rPr>
        <w:t xml:space="preserve"> 4 secondary indicators (i.e.</w:t>
      </w:r>
      <w:r>
        <w:rPr>
          <w:rFonts w:asciiTheme="minorEastAsia" w:hAnsiTheme="minorEastAsia"/>
          <w:sz w:val="24"/>
        </w:rPr>
        <w:t xml:space="preserve"> strength of legal rights index, depth of credit information index, credit bureau coverage, and credit registry coverage)</w:t>
      </w:r>
      <w:r>
        <w:rPr>
          <w:rFonts w:hint="eastAsia" w:asciiTheme="minorEastAsia" w:hAnsiTheme="minorEastAsia"/>
          <w:sz w:val="24"/>
        </w:rPr>
        <w:t xml:space="preserve"> and 20 specific indicators. At this stage, </w:t>
      </w:r>
      <w:r>
        <w:rPr>
          <w:rFonts w:asciiTheme="minorEastAsia" w:hAnsiTheme="minorEastAsia"/>
          <w:sz w:val="24"/>
        </w:rPr>
        <w:t xml:space="preserve">the </w:t>
      </w:r>
      <w:r>
        <w:rPr>
          <w:rFonts w:hint="eastAsia" w:asciiTheme="minorEastAsia" w:hAnsiTheme="minorEastAsia"/>
          <w:sz w:val="24"/>
        </w:rPr>
        <w:t xml:space="preserve">two sets of indexes are included in the </w:t>
      </w:r>
      <w:r>
        <w:rPr>
          <w:rFonts w:asciiTheme="minorEastAsia" w:hAnsiTheme="minorEastAsia"/>
          <w:sz w:val="24"/>
        </w:rPr>
        <w:t>grading</w:t>
      </w:r>
      <w:r>
        <w:rPr>
          <w:rFonts w:hint="eastAsia" w:asciiTheme="minorEastAsia" w:hAnsiTheme="minorEastAsia"/>
          <w:sz w:val="24"/>
        </w:rPr>
        <w:t xml:space="preserve"> system, however</w:t>
      </w:r>
      <w:r>
        <w:rPr>
          <w:rFonts w:asciiTheme="minorEastAsia" w:hAnsiTheme="minorEastAsia"/>
          <w:sz w:val="24"/>
        </w:rPr>
        <w:t>,</w:t>
      </w:r>
      <w:r>
        <w:rPr>
          <w:rFonts w:hint="eastAsia" w:asciiTheme="minorEastAsia" w:hAnsiTheme="minorEastAsia"/>
          <w:sz w:val="24"/>
        </w:rPr>
        <w:t xml:space="preserve"> the two types of institution</w:t>
      </w:r>
      <w:r>
        <w:rPr>
          <w:rFonts w:asciiTheme="minorEastAsia" w:hAnsiTheme="minorEastAsia"/>
          <w:sz w:val="24"/>
        </w:rPr>
        <w:t>al</w:t>
      </w:r>
      <w:r>
        <w:rPr>
          <w:rFonts w:hint="eastAsia" w:asciiTheme="minorEastAsia" w:hAnsiTheme="minorEastAsia"/>
          <w:sz w:val="24"/>
        </w:rPr>
        <w:t xml:space="preserve"> coverag</w:t>
      </w:r>
      <w:r>
        <w:rPr>
          <w:rFonts w:asciiTheme="minorEastAsia" w:hAnsiTheme="minorEastAsia"/>
          <w:sz w:val="24"/>
        </w:rPr>
        <w:t>e</w:t>
      </w:r>
      <w:r>
        <w:rPr>
          <w:rFonts w:hint="eastAsia" w:asciiTheme="minorEastAsia" w:hAnsiTheme="minorEastAsia"/>
          <w:sz w:val="24"/>
        </w:rPr>
        <w:t xml:space="preserve"> </w:t>
      </w:r>
      <w:r>
        <w:rPr>
          <w:rFonts w:asciiTheme="minorEastAsia" w:hAnsiTheme="minorEastAsia"/>
          <w:sz w:val="24"/>
        </w:rPr>
        <w:t>are used only for disclosure</w:t>
      </w:r>
      <w:r>
        <w:rPr>
          <w:rFonts w:hint="eastAsia" w:asciiTheme="minorEastAsia" w:hAnsiTheme="minorEastAsia"/>
          <w:sz w:val="24"/>
        </w:rPr>
        <w:t>. Among the 190 participa</w:t>
      </w:r>
      <w:r>
        <w:rPr>
          <w:rFonts w:asciiTheme="minorEastAsia" w:hAnsiTheme="minorEastAsia"/>
          <w:sz w:val="24"/>
        </w:rPr>
        <w:t xml:space="preserve">nt </w:t>
      </w:r>
      <w:r>
        <w:rPr>
          <w:rFonts w:hint="eastAsia" w:asciiTheme="minorEastAsia" w:hAnsiTheme="minorEastAsia"/>
          <w:sz w:val="24"/>
        </w:rPr>
        <w:t>economies, China ranked</w:t>
      </w:r>
      <w:r>
        <w:rPr>
          <w:rFonts w:asciiTheme="minorEastAsia" w:hAnsiTheme="minorEastAsia"/>
          <w:sz w:val="24"/>
        </w:rPr>
        <w:t xml:space="preserve"> the</w:t>
      </w:r>
      <w:r>
        <w:rPr>
          <w:rFonts w:hint="eastAsia" w:asciiTheme="minorEastAsia" w:hAnsiTheme="minorEastAsia"/>
          <w:sz w:val="24"/>
        </w:rPr>
        <w:t xml:space="preserve"> 31st overall in 2019, while </w:t>
      </w:r>
      <w:r>
        <w:rPr>
          <w:rFonts w:asciiTheme="minorEastAsia" w:hAnsiTheme="minorEastAsia"/>
          <w:sz w:val="24"/>
        </w:rPr>
        <w:t>the</w:t>
      </w:r>
      <w:r>
        <w:rPr>
          <w:rFonts w:hint="eastAsia" w:asciiTheme="minorEastAsia" w:hAnsiTheme="minorEastAsia"/>
          <w:sz w:val="24"/>
        </w:rPr>
        <w:t>“Getting Credit”</w:t>
      </w:r>
      <w:r>
        <w:rPr>
          <w:rFonts w:asciiTheme="minorEastAsia" w:hAnsiTheme="minorEastAsia"/>
          <w:sz w:val="24"/>
        </w:rPr>
        <w:t>of C</w:t>
      </w:r>
      <w:r>
        <w:rPr>
          <w:rFonts w:hint="eastAsia" w:asciiTheme="minorEastAsia" w:hAnsiTheme="minorEastAsia"/>
          <w:sz w:val="24"/>
        </w:rPr>
        <w:t>hina ranked the 80th.</w:t>
      </w:r>
    </w:p>
    <w:p>
      <w:pPr>
        <w:tabs>
          <w:tab w:val="left" w:pos="3358"/>
        </w:tabs>
        <w:spacing w:line="140" w:lineRule="atLeast"/>
        <w:ind w:firstLine="480" w:firstLineChars="200"/>
        <w:rPr>
          <w:rFonts w:asciiTheme="minorEastAsia" w:hAnsiTheme="minorEastAsia"/>
          <w:sz w:val="24"/>
        </w:rPr>
      </w:pPr>
      <w:r>
        <w:rPr>
          <w:rFonts w:hint="eastAsia" w:asciiTheme="minorEastAsia" w:hAnsiTheme="minorEastAsia"/>
          <w:sz w:val="24"/>
        </w:rPr>
        <w:t xml:space="preserve">中国政府高度重视优化营商环境工作，把优化营商环境作为建设现代化经济体系、促进高质量发展的重要基础。“十八大”以来，以习近平同志为核心的党中央全面推进依法治国，以更有力的法治举措推动营商环境不断优化，中国经济正释放新的制度红利。 </w:t>
      </w:r>
    </w:p>
    <w:p>
      <w:pPr>
        <w:tabs>
          <w:tab w:val="left" w:pos="3358"/>
        </w:tabs>
        <w:spacing w:line="140" w:lineRule="atLeast"/>
        <w:ind w:firstLine="480" w:firstLineChars="200"/>
        <w:rPr>
          <w:rFonts w:asciiTheme="minorEastAsia" w:hAnsiTheme="minorEastAsia"/>
          <w:b/>
          <w:bCs/>
          <w:sz w:val="24"/>
          <w:highlight w:val="yellow"/>
        </w:rPr>
      </w:pPr>
      <w:r>
        <w:rPr>
          <w:rFonts w:hint="eastAsia" w:asciiTheme="minorEastAsia" w:hAnsiTheme="minorEastAsia"/>
          <w:sz w:val="24"/>
        </w:rPr>
        <w:t xml:space="preserve">The Chinese government </w:t>
      </w:r>
      <w:r>
        <w:rPr>
          <w:rFonts w:asciiTheme="minorEastAsia" w:hAnsiTheme="minorEastAsia"/>
          <w:sz w:val="24"/>
        </w:rPr>
        <w:t>pays</w:t>
      </w:r>
      <w:r>
        <w:rPr>
          <w:rFonts w:hint="eastAsia" w:asciiTheme="minorEastAsia" w:hAnsiTheme="minorEastAsia"/>
          <w:sz w:val="24"/>
        </w:rPr>
        <w:t xml:space="preserve"> great </w:t>
      </w:r>
      <w:r>
        <w:rPr>
          <w:rFonts w:asciiTheme="minorEastAsia" w:hAnsiTheme="minorEastAsia"/>
          <w:sz w:val="24"/>
        </w:rPr>
        <w:t>attention</w:t>
      </w:r>
      <w:r>
        <w:rPr>
          <w:rFonts w:hint="eastAsia" w:asciiTheme="minorEastAsia" w:hAnsiTheme="minorEastAsia"/>
          <w:sz w:val="24"/>
        </w:rPr>
        <w:t xml:space="preserve"> to</w:t>
      </w:r>
      <w:r>
        <w:rPr>
          <w:rFonts w:asciiTheme="minorEastAsia" w:hAnsiTheme="minorEastAsia"/>
          <w:sz w:val="24"/>
        </w:rPr>
        <w:t xml:space="preserve"> </w:t>
      </w:r>
      <w:r>
        <w:rPr>
          <w:rFonts w:hint="eastAsia" w:asciiTheme="minorEastAsia" w:hAnsiTheme="minorEastAsia"/>
          <w:sz w:val="24"/>
        </w:rPr>
        <w:t xml:space="preserve">optimizing the doing-business environment and regards </w:t>
      </w:r>
      <w:r>
        <w:rPr>
          <w:rFonts w:asciiTheme="minorEastAsia" w:hAnsiTheme="minorEastAsia"/>
          <w:sz w:val="24"/>
        </w:rPr>
        <w:t>it</w:t>
      </w:r>
      <w:r>
        <w:rPr>
          <w:rFonts w:hint="eastAsia" w:asciiTheme="minorEastAsia" w:hAnsiTheme="minorEastAsia"/>
          <w:sz w:val="24"/>
        </w:rPr>
        <w:t xml:space="preserve"> as an important </w:t>
      </w:r>
      <w:r>
        <w:rPr>
          <w:rFonts w:asciiTheme="minorEastAsia" w:hAnsiTheme="minorEastAsia"/>
          <w:sz w:val="24"/>
        </w:rPr>
        <w:t>foundation</w:t>
      </w:r>
      <w:r>
        <w:rPr>
          <w:rFonts w:hint="eastAsia" w:asciiTheme="minorEastAsia" w:hAnsiTheme="minorEastAsia"/>
          <w:sz w:val="24"/>
        </w:rPr>
        <w:t xml:space="preserve"> for building a modern economic system and promoting high-quality development. Since the 18th CPC National Congress in 2012, </w:t>
      </w:r>
      <w:r>
        <w:rPr>
          <w:rFonts w:asciiTheme="minorEastAsia" w:hAnsiTheme="minorEastAsia"/>
          <w:sz w:val="24"/>
        </w:rPr>
        <w:t>the CPC Central Committee with Comrade Xi Jinping as the core</w:t>
      </w:r>
      <w:r>
        <w:rPr>
          <w:rFonts w:hint="eastAsia" w:asciiTheme="minorEastAsia" w:hAnsiTheme="minorEastAsia"/>
          <w:sz w:val="24"/>
        </w:rPr>
        <w:t xml:space="preserve"> has been</w:t>
      </w:r>
      <w:r>
        <w:rPr>
          <w:rFonts w:asciiTheme="minorEastAsia" w:hAnsiTheme="minorEastAsia"/>
          <w:sz w:val="24"/>
        </w:rPr>
        <w:t xml:space="preserve"> </w:t>
      </w:r>
      <w:r>
        <w:rPr>
          <w:rFonts w:hint="eastAsia" w:asciiTheme="minorEastAsia" w:hAnsiTheme="minorEastAsia"/>
          <w:sz w:val="24"/>
        </w:rPr>
        <w:t>c</w:t>
      </w:r>
      <w:r>
        <w:rPr>
          <w:rFonts w:asciiTheme="minorEastAsia" w:hAnsiTheme="minorEastAsia"/>
          <w:sz w:val="24"/>
        </w:rPr>
        <w:t xml:space="preserve">omprehensively </w:t>
      </w:r>
      <w:r>
        <w:rPr>
          <w:rFonts w:hint="eastAsia" w:asciiTheme="minorEastAsia" w:hAnsiTheme="minorEastAsia"/>
          <w:sz w:val="24"/>
        </w:rPr>
        <w:t>p</w:t>
      </w:r>
      <w:r>
        <w:rPr>
          <w:rFonts w:asciiTheme="minorEastAsia" w:hAnsiTheme="minorEastAsia"/>
          <w:sz w:val="24"/>
        </w:rPr>
        <w:t xml:space="preserve">romoting the </w:t>
      </w:r>
      <w:r>
        <w:rPr>
          <w:rFonts w:hint="eastAsia" w:asciiTheme="minorEastAsia" w:hAnsiTheme="minorEastAsia"/>
          <w:sz w:val="24"/>
        </w:rPr>
        <w:t>r</w:t>
      </w:r>
      <w:r>
        <w:rPr>
          <w:rFonts w:asciiTheme="minorEastAsia" w:hAnsiTheme="minorEastAsia"/>
          <w:sz w:val="24"/>
        </w:rPr>
        <w:t xml:space="preserve">ule of </w:t>
      </w:r>
      <w:r>
        <w:rPr>
          <w:rFonts w:hint="eastAsia" w:asciiTheme="minorEastAsia" w:hAnsiTheme="minorEastAsia"/>
          <w:sz w:val="24"/>
        </w:rPr>
        <w:t>l</w:t>
      </w:r>
      <w:r>
        <w:rPr>
          <w:rFonts w:asciiTheme="minorEastAsia" w:hAnsiTheme="minorEastAsia"/>
          <w:sz w:val="24"/>
        </w:rPr>
        <w:t>aw</w:t>
      </w:r>
      <w:r>
        <w:rPr>
          <w:rFonts w:hint="eastAsia" w:asciiTheme="minorEastAsia" w:hAnsiTheme="minorEastAsia"/>
          <w:sz w:val="24"/>
        </w:rPr>
        <w:t xml:space="preserve"> and optimizing the doing-business environment with stronger measures of the rule of law</w:t>
      </w:r>
      <w:r>
        <w:rPr>
          <w:rFonts w:asciiTheme="minorEastAsia" w:hAnsiTheme="minorEastAsia"/>
          <w:sz w:val="24"/>
        </w:rPr>
        <w:t>, so that</w:t>
      </w:r>
      <w:r>
        <w:rPr>
          <w:rFonts w:hint="eastAsia" w:asciiTheme="minorEastAsia" w:hAnsiTheme="minorEastAsia"/>
          <w:sz w:val="24"/>
        </w:rPr>
        <w:t xml:space="preserve"> the Chinese economy is releasing new institutional dividends.</w:t>
      </w:r>
    </w:p>
    <w:p>
      <w:pPr>
        <w:tabs>
          <w:tab w:val="left" w:pos="3358"/>
        </w:tabs>
        <w:spacing w:line="140" w:lineRule="atLeast"/>
        <w:ind w:firstLine="480" w:firstLineChars="200"/>
        <w:rPr>
          <w:rFonts w:asciiTheme="minorEastAsia" w:hAnsiTheme="minorEastAsia"/>
          <w:sz w:val="24"/>
        </w:rPr>
      </w:pPr>
      <w:r>
        <w:rPr>
          <w:rFonts w:hint="eastAsia" w:asciiTheme="minorEastAsia" w:hAnsiTheme="minorEastAsia"/>
          <w:sz w:val="24"/>
        </w:rPr>
        <w:t>近几年，从中央到地方陆续制定出台了多项条例、通知或意见，不断优化营商环境、支持实体经济发展</w:t>
      </w:r>
    </w:p>
    <w:p>
      <w:pPr>
        <w:tabs>
          <w:tab w:val="left" w:pos="3358"/>
        </w:tabs>
        <w:spacing w:line="140" w:lineRule="atLeast"/>
        <w:ind w:firstLine="480" w:firstLineChars="200"/>
        <w:rPr>
          <w:rFonts w:asciiTheme="minorEastAsia" w:hAnsiTheme="minorEastAsia"/>
          <w:sz w:val="24"/>
        </w:rPr>
      </w:pPr>
      <w:r>
        <w:rPr>
          <w:rFonts w:hint="eastAsia" w:asciiTheme="minorEastAsia" w:hAnsiTheme="minorEastAsia"/>
          <w:sz w:val="24"/>
        </w:rPr>
        <w:t xml:space="preserve">In recent years, a number of regulations, notices or </w:t>
      </w:r>
      <w:r>
        <w:rPr>
          <w:rFonts w:asciiTheme="minorEastAsia" w:hAnsiTheme="minorEastAsia"/>
          <w:sz w:val="24"/>
        </w:rPr>
        <w:t>opinions</w:t>
      </w:r>
      <w:r>
        <w:rPr>
          <w:rFonts w:hint="eastAsia" w:asciiTheme="minorEastAsia" w:hAnsiTheme="minorEastAsia"/>
          <w:sz w:val="24"/>
        </w:rPr>
        <w:t xml:space="preserve"> have been formulated and </w:t>
      </w:r>
      <w:r>
        <w:rPr>
          <w:rFonts w:asciiTheme="minorEastAsia" w:hAnsiTheme="minorEastAsia"/>
          <w:sz w:val="24"/>
        </w:rPr>
        <w:t>promulgated by the governments</w:t>
      </w:r>
      <w:r>
        <w:rPr>
          <w:rFonts w:hint="eastAsia" w:asciiTheme="minorEastAsia" w:hAnsiTheme="minorEastAsia"/>
          <w:sz w:val="24"/>
        </w:rPr>
        <w:t xml:space="preserve"> from the central </w:t>
      </w:r>
      <w:r>
        <w:rPr>
          <w:rFonts w:asciiTheme="minorEastAsia" w:hAnsiTheme="minorEastAsia"/>
          <w:sz w:val="24"/>
        </w:rPr>
        <w:t>level</w:t>
      </w:r>
      <w:r>
        <w:rPr>
          <w:rFonts w:hint="eastAsia" w:asciiTheme="minorEastAsia" w:hAnsiTheme="minorEastAsia"/>
          <w:sz w:val="24"/>
        </w:rPr>
        <w:t xml:space="preserve"> to the local </w:t>
      </w:r>
      <w:r>
        <w:rPr>
          <w:rFonts w:asciiTheme="minorEastAsia" w:hAnsiTheme="minorEastAsia"/>
          <w:sz w:val="24"/>
        </w:rPr>
        <w:t>level</w:t>
      </w:r>
      <w:r>
        <w:rPr>
          <w:rFonts w:hint="eastAsia" w:asciiTheme="minorEastAsia" w:hAnsiTheme="minorEastAsia"/>
          <w:sz w:val="24"/>
        </w:rPr>
        <w:t>,</w:t>
      </w:r>
      <w:r>
        <w:rPr>
          <w:rFonts w:asciiTheme="minorEastAsia" w:hAnsiTheme="minorEastAsia"/>
          <w:sz w:val="24"/>
        </w:rPr>
        <w:t xml:space="preserve"> which</w:t>
      </w:r>
      <w:r>
        <w:rPr>
          <w:rFonts w:hint="eastAsia" w:asciiTheme="minorEastAsia" w:hAnsiTheme="minorEastAsia"/>
          <w:sz w:val="24"/>
        </w:rPr>
        <w:t xml:space="preserve"> continuously optimize the doing-business environment and support the development of the real economy.</w:t>
      </w:r>
    </w:p>
    <w:p>
      <w:pPr>
        <w:spacing w:line="140" w:lineRule="atLeast"/>
        <w:rPr>
          <w:rFonts w:asciiTheme="minorEastAsia" w:hAnsiTheme="minorEastAsia"/>
          <w:sz w:val="24"/>
        </w:rPr>
      </w:pPr>
    </w:p>
    <w:p>
      <w:pPr>
        <w:spacing w:line="140" w:lineRule="atLeast"/>
        <w:rPr>
          <w:rFonts w:asciiTheme="minorEastAsia" w:hAnsiTheme="minorEastAsia"/>
          <w:sz w:val="24"/>
        </w:rPr>
      </w:pPr>
      <w:r>
        <w:rPr>
          <w:rFonts w:hint="eastAsia" w:asciiTheme="minorEastAsia" w:hAnsiTheme="minorEastAsia"/>
          <w:color w:val="FFFFFF" w:themeColor="background1"/>
          <w:sz w:val="32"/>
          <w:szCs w:val="32"/>
          <w:highlight w:val="blue"/>
          <w14:textFill>
            <w14:solidFill>
              <w14:schemeClr w14:val="bg1"/>
            </w14:solidFill>
          </w14:textFill>
        </w:rPr>
        <w:t>一、国家级政策文件</w:t>
      </w: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 xml:space="preserve">I. </w:t>
      </w:r>
      <w:r>
        <w:rPr>
          <w:rFonts w:asciiTheme="minorEastAsia" w:hAnsiTheme="minorEastAsia"/>
          <w:color w:val="000000" w:themeColor="text1"/>
          <w:sz w:val="24"/>
          <w14:textFill>
            <w14:solidFill>
              <w14:schemeClr w14:val="tx1"/>
            </w14:solidFill>
          </w14:textFill>
        </w:rPr>
        <w:t>P</w:t>
      </w:r>
      <w:r>
        <w:rPr>
          <w:rFonts w:hint="eastAsia" w:asciiTheme="minorEastAsia" w:hAnsiTheme="minorEastAsia"/>
          <w:color w:val="000000" w:themeColor="text1"/>
          <w:sz w:val="24"/>
          <w14:textFill>
            <w14:solidFill>
              <w14:schemeClr w14:val="tx1"/>
            </w14:solidFill>
          </w14:textFill>
        </w:rPr>
        <w:t xml:space="preserve">olicy </w:t>
      </w:r>
      <w:r>
        <w:rPr>
          <w:rFonts w:asciiTheme="minorEastAsia" w:hAnsiTheme="minorEastAsia"/>
          <w:color w:val="000000" w:themeColor="text1"/>
          <w:sz w:val="24"/>
          <w14:textFill>
            <w14:solidFill>
              <w14:schemeClr w14:val="tx1"/>
            </w14:solidFill>
          </w14:textFill>
        </w:rPr>
        <w:t>D</w:t>
      </w:r>
      <w:r>
        <w:rPr>
          <w:rFonts w:hint="eastAsia" w:asciiTheme="minorEastAsia" w:hAnsiTheme="minorEastAsia"/>
          <w:color w:val="000000" w:themeColor="text1"/>
          <w:sz w:val="24"/>
          <w14:textFill>
            <w14:solidFill>
              <w14:schemeClr w14:val="tx1"/>
            </w14:solidFill>
          </w14:textFill>
        </w:rPr>
        <w:t>ocuments</w:t>
      </w:r>
      <w:r>
        <w:rPr>
          <w:rFonts w:asciiTheme="minorEastAsia" w:hAnsiTheme="minorEastAsia"/>
          <w:color w:val="000000" w:themeColor="text1"/>
          <w:sz w:val="24"/>
          <w14:textFill>
            <w14:solidFill>
              <w14:schemeClr w14:val="tx1"/>
            </w14:solidFill>
          </w14:textFill>
        </w:rPr>
        <w:t xml:space="preserve"> at the National Level</w:t>
      </w: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《中共中央国务院关于营造更好发展环境支持民营企业改革发展的意见》</w:t>
      </w:r>
    </w:p>
    <w:p>
      <w:pPr>
        <w:spacing w:line="140" w:lineRule="atLeast"/>
        <w:rPr>
          <w:rFonts w:asciiTheme="minorEastAsia" w:hAnsiTheme="minorEastAsia"/>
          <w:i/>
          <w:iCs/>
          <w:color w:val="000000" w:themeColor="text1"/>
          <w:sz w:val="24"/>
          <w14:textFill>
            <w14:solidFill>
              <w14:schemeClr w14:val="tx1"/>
            </w14:solidFill>
          </w14:textFill>
        </w:rPr>
      </w:pPr>
      <w:r>
        <w:rPr>
          <w:rFonts w:hint="eastAsia" w:asciiTheme="minorEastAsia" w:hAnsiTheme="minorEastAsia"/>
          <w:i/>
          <w:iCs/>
          <w:color w:val="000000" w:themeColor="text1"/>
          <w:sz w:val="24"/>
          <w14:textFill>
            <w14:solidFill>
              <w14:schemeClr w14:val="tx1"/>
            </w14:solidFill>
          </w14:textFill>
        </w:rPr>
        <w:t>Opinions of the CPC Central Committee and the State Council on Creating a Better Development Environment and Supporting the Reform and Development of Private Enterprises</w:t>
      </w:r>
    </w:p>
    <w:p>
      <w:pPr>
        <w:spacing w:line="140" w:lineRule="atLeast"/>
        <w:rPr>
          <w:rFonts w:asciiTheme="minorEastAsia" w:hAnsiTheme="minorEastAsia"/>
          <w:color w:val="000000" w:themeColor="text1"/>
          <w:sz w:val="24"/>
          <w14:textFill>
            <w14:solidFill>
              <w14:schemeClr w14:val="tx1"/>
            </w14:solidFill>
          </w14:textFill>
        </w:rPr>
      </w:pP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中共中央办公厅、国务院办公厅印发《关于加强金融服务民营企业的若干意见》</w:t>
      </w:r>
    </w:p>
    <w:p>
      <w:pPr>
        <w:spacing w:line="140" w:lineRule="atLeast"/>
        <w:rPr>
          <w:rFonts w:asciiTheme="minorEastAsia" w:hAnsiTheme="minorEastAsia"/>
          <w:color w:val="000000" w:themeColor="text1"/>
          <w:sz w:val="24"/>
          <w:u w:val="single"/>
          <w14:textFill>
            <w14:solidFill>
              <w14:schemeClr w14:val="tx1"/>
            </w14:solidFill>
          </w14:textFill>
        </w:rPr>
      </w:pPr>
      <w:r>
        <w:rPr>
          <w:rFonts w:hint="eastAsia" w:asciiTheme="minorEastAsia" w:hAnsiTheme="minorEastAsia"/>
          <w:i/>
          <w:iCs/>
          <w:color w:val="000000" w:themeColor="text1"/>
          <w:sz w:val="24"/>
          <w14:textFill>
            <w14:solidFill>
              <w14:schemeClr w14:val="tx1"/>
            </w14:solidFill>
          </w14:textFill>
        </w:rPr>
        <w:t>Opinions on Strengthening Financial Services to Private Enterprises</w:t>
      </w:r>
      <w:r>
        <w:rPr>
          <w:rFonts w:hint="eastAsia" w:asciiTheme="minorEastAsia" w:hAnsiTheme="minorEastAsia"/>
          <w:iCs/>
          <w:color w:val="000000" w:themeColor="text1"/>
          <w:sz w:val="24"/>
          <w14:textFill>
            <w14:solidFill>
              <w14:schemeClr w14:val="tx1"/>
            </w14:solidFill>
          </w14:textFill>
        </w:rPr>
        <w:t xml:space="preserve"> Is</w:t>
      </w:r>
      <w:r>
        <w:rPr>
          <w:rFonts w:asciiTheme="minorEastAsia" w:hAnsiTheme="minorEastAsia"/>
          <w:iCs/>
          <w:color w:val="000000" w:themeColor="text1"/>
          <w:sz w:val="24"/>
          <w14:textFill>
            <w14:solidFill>
              <w14:schemeClr w14:val="tx1"/>
            </w14:solidFill>
          </w14:textFill>
        </w:rPr>
        <w:t xml:space="preserve">sued by the </w:t>
      </w:r>
      <w:r>
        <w:rPr>
          <w:rFonts w:hint="eastAsia" w:asciiTheme="minorEastAsia" w:hAnsiTheme="minorEastAsia"/>
          <w:color w:val="000000" w:themeColor="text1"/>
          <w:sz w:val="24"/>
          <w14:textFill>
            <w14:solidFill>
              <w14:schemeClr w14:val="tx1"/>
            </w14:solidFill>
          </w14:textFill>
        </w:rPr>
        <w:t>General Office of the CPC Central Committee and</w:t>
      </w:r>
      <w:r>
        <w:rPr>
          <w:rFonts w:asciiTheme="minorEastAsia" w:hAnsiTheme="minorEastAsia"/>
          <w:color w:val="000000" w:themeColor="text1"/>
          <w:sz w:val="24"/>
          <w14:textFill>
            <w14:solidFill>
              <w14:schemeClr w14:val="tx1"/>
            </w14:solidFill>
          </w14:textFill>
        </w:rPr>
        <w:t xml:space="preserve"> the</w:t>
      </w:r>
      <w:r>
        <w:rPr>
          <w:rFonts w:hint="eastAsia" w:asciiTheme="minorEastAsia" w:hAnsiTheme="minorEastAsia"/>
          <w:color w:val="000000" w:themeColor="text1"/>
          <w:sz w:val="24"/>
          <w14:textFill>
            <w14:solidFill>
              <w14:schemeClr w14:val="tx1"/>
            </w14:solidFill>
          </w14:textFill>
        </w:rPr>
        <w:t xml:space="preserve"> General Office of the State Council</w:t>
      </w:r>
    </w:p>
    <w:p>
      <w:pPr>
        <w:spacing w:line="140" w:lineRule="atLeast"/>
        <w:rPr>
          <w:rFonts w:asciiTheme="minorEastAsia" w:hAnsiTheme="minorEastAsia"/>
          <w:color w:val="000000" w:themeColor="text1"/>
          <w:sz w:val="24"/>
          <w14:textFill>
            <w14:solidFill>
              <w14:schemeClr w14:val="tx1"/>
            </w14:solidFill>
          </w14:textFill>
        </w:rPr>
      </w:pP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《最高人民法院印发＜关于加强金融审判工作的若干意见＞的通知》</w:t>
      </w: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（法发〔2017〕22 号）</w:t>
      </w:r>
    </w:p>
    <w:p>
      <w:pPr>
        <w:spacing w:line="140" w:lineRule="atLeast"/>
        <w:rPr>
          <w:rFonts w:asciiTheme="minorEastAsia" w:hAnsiTheme="minorEastAsia"/>
          <w:i/>
          <w:iCs/>
          <w:color w:val="000000" w:themeColor="text1"/>
          <w:sz w:val="24"/>
          <w14:textFill>
            <w14:solidFill>
              <w14:schemeClr w14:val="tx1"/>
            </w14:solidFill>
          </w14:textFill>
        </w:rPr>
      </w:pPr>
      <w:r>
        <w:rPr>
          <w:rFonts w:asciiTheme="minorEastAsia" w:hAnsiTheme="minorEastAsia"/>
          <w:color w:val="000000" w:themeColor="text1"/>
          <w:sz w:val="24"/>
          <w14:textFill>
            <w14:solidFill>
              <w14:schemeClr w14:val="tx1"/>
            </w14:solidFill>
          </w14:textFill>
        </w:rPr>
        <w:t>Notice by the Supreme People's Court of Issuing</w:t>
      </w:r>
      <w:r>
        <w:rPr>
          <w:rFonts w:asciiTheme="minorEastAsia" w:hAnsiTheme="minorEastAsia"/>
          <w:i/>
          <w:iCs/>
          <w:color w:val="000000" w:themeColor="text1"/>
          <w:sz w:val="24"/>
          <w14:textFill>
            <w14:solidFill>
              <w14:schemeClr w14:val="tx1"/>
            </w14:solidFill>
          </w14:textFill>
        </w:rPr>
        <w:t xml:space="preserve"> Several Opinions on Strengthening the Financial Trial Work</w:t>
      </w:r>
    </w:p>
    <w:p>
      <w:pPr>
        <w:spacing w:line="140" w:lineRule="atLeast"/>
        <w:rPr>
          <w:rFonts w:asciiTheme="minorEastAsia" w:hAnsiTheme="minorEastAsia"/>
          <w:i/>
          <w:iCs/>
          <w:color w:val="000000" w:themeColor="text1"/>
          <w:sz w:val="24"/>
          <w14:textFill>
            <w14:solidFill>
              <w14:schemeClr w14:val="tx1"/>
            </w14:solidFill>
          </w14:textFill>
        </w:rPr>
      </w:pPr>
      <w:r>
        <w:rPr>
          <w:rFonts w:asciiTheme="minorEastAsia" w:hAnsiTheme="minorEastAsia"/>
          <w:iCs/>
          <w:color w:val="000000" w:themeColor="text1"/>
          <w:sz w:val="24"/>
          <w14:textFill>
            <w14:solidFill>
              <w14:schemeClr w14:val="tx1"/>
            </w14:solidFill>
          </w14:textFill>
        </w:rPr>
        <w:t>No. 22 [2017] of the Supreme People's Court</w:t>
      </w:r>
    </w:p>
    <w:p>
      <w:pPr>
        <w:spacing w:line="140" w:lineRule="atLeast"/>
        <w:rPr>
          <w:rFonts w:asciiTheme="minorEastAsia" w:hAnsiTheme="minorEastAsia"/>
          <w:color w:val="000000" w:themeColor="text1"/>
          <w:sz w:val="24"/>
          <w14:textFill>
            <w14:solidFill>
              <w14:schemeClr w14:val="tx1"/>
            </w14:solidFill>
          </w14:textFill>
        </w:rPr>
      </w:pP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《国务院办公厅关于聚焦企业关切进一步推动优化营商环境政策落实的通知》</w:t>
      </w: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（国办发〔2018〕104号）</w:t>
      </w:r>
    </w:p>
    <w:p>
      <w:pPr>
        <w:spacing w:line="140" w:lineRule="atLeast"/>
        <w:rPr>
          <w:rFonts w:asciiTheme="minorEastAsia" w:hAnsiTheme="minorEastAsia"/>
          <w:i/>
          <w:iCs/>
          <w:color w:val="000000" w:themeColor="text1"/>
          <w:sz w:val="24"/>
          <w14:textFill>
            <w14:solidFill>
              <w14:schemeClr w14:val="tx1"/>
            </w14:solidFill>
          </w14:textFill>
        </w:rPr>
      </w:pPr>
      <w:r>
        <w:rPr>
          <w:rFonts w:hint="eastAsia" w:asciiTheme="minorEastAsia" w:hAnsiTheme="minorEastAsia"/>
          <w:i/>
          <w:iCs/>
          <w:color w:val="000000" w:themeColor="text1"/>
          <w:sz w:val="24"/>
          <w14:textFill>
            <w14:solidFill>
              <w14:schemeClr w14:val="tx1"/>
            </w14:solidFill>
          </w14:textFill>
        </w:rPr>
        <w:t>Notice by the General Office of the State Council of Focusing on Enterprises' Concerns and Further Promoting Implementation of Business Environment Optimization Policies</w:t>
      </w: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No. 104 [2018] of the General Office of the State Council</w:t>
      </w:r>
    </w:p>
    <w:p>
      <w:pPr>
        <w:spacing w:line="140" w:lineRule="atLeast"/>
        <w:rPr>
          <w:rFonts w:asciiTheme="minorEastAsia" w:hAnsiTheme="minorEastAsia"/>
          <w:color w:val="000000" w:themeColor="text1"/>
          <w:sz w:val="24"/>
          <w14:textFill>
            <w14:solidFill>
              <w14:schemeClr w14:val="tx1"/>
            </w14:solidFill>
          </w14:textFill>
        </w:rPr>
      </w:pP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《中国银保监会关于进一步加强金融服务民营企业有关工作的通知》</w:t>
      </w: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（银保监发[2019]8号）</w:t>
      </w:r>
    </w:p>
    <w:p>
      <w:pPr>
        <w:spacing w:line="140" w:lineRule="atLeast"/>
        <w:rPr>
          <w:rFonts w:asciiTheme="minorEastAsia" w:hAnsiTheme="minorEastAsia"/>
          <w:i/>
          <w:iCs/>
          <w:color w:val="000000" w:themeColor="text1"/>
          <w:sz w:val="24"/>
          <w14:textFill>
            <w14:solidFill>
              <w14:schemeClr w14:val="tx1"/>
            </w14:solidFill>
          </w14:textFill>
        </w:rPr>
      </w:pPr>
      <w:r>
        <w:rPr>
          <w:rFonts w:hint="eastAsia" w:asciiTheme="minorEastAsia" w:hAnsiTheme="minorEastAsia"/>
          <w:i/>
          <w:iCs/>
          <w:color w:val="000000" w:themeColor="text1"/>
          <w:sz w:val="24"/>
          <w14:textFill>
            <w14:solidFill>
              <w14:schemeClr w14:val="tx1"/>
            </w14:solidFill>
          </w14:textFill>
        </w:rPr>
        <w:t>Notice by the China Banking and Insurance Regulatory Commission of Further Improving the Relevant Work of Serving Private Enterprises Through Finance</w:t>
      </w: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No. 8 [2019] of the China Banking and Insurance Regulatory Commission</w:t>
      </w:r>
    </w:p>
    <w:p>
      <w:pPr>
        <w:spacing w:line="140" w:lineRule="atLeast"/>
        <w:rPr>
          <w:rFonts w:asciiTheme="minorEastAsia" w:hAnsiTheme="minorEastAsia"/>
          <w:color w:val="000000" w:themeColor="text1"/>
          <w:sz w:val="24"/>
          <w14:textFill>
            <w14:solidFill>
              <w14:schemeClr w14:val="tx1"/>
            </w14:solidFill>
          </w14:textFill>
        </w:rPr>
      </w:pP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《中国银保监会办公厅关于开展银行违规涉企服务收费专项治理工作的通知》（银保监办发〔2019〕131号）</w:t>
      </w:r>
    </w:p>
    <w:p>
      <w:pPr>
        <w:spacing w:line="140" w:lineRule="atLeast"/>
        <w:rPr>
          <w:rFonts w:asciiTheme="minorEastAsia" w:hAnsiTheme="minorEastAsia"/>
          <w:i/>
          <w:iCs/>
          <w:color w:val="000000" w:themeColor="text1"/>
          <w:sz w:val="24"/>
          <w14:textFill>
            <w14:solidFill>
              <w14:schemeClr w14:val="tx1"/>
            </w14:solidFill>
          </w14:textFill>
        </w:rPr>
      </w:pPr>
      <w:r>
        <w:rPr>
          <w:rFonts w:hint="eastAsia" w:asciiTheme="minorEastAsia" w:hAnsiTheme="minorEastAsia"/>
          <w:i/>
          <w:iCs/>
          <w:color w:val="000000" w:themeColor="text1"/>
          <w:sz w:val="24"/>
          <w14:textFill>
            <w14:solidFill>
              <w14:schemeClr w14:val="tx1"/>
            </w14:solidFill>
          </w14:textFill>
        </w:rPr>
        <w:t>Notice by the General Office of the China Banking and Insurance Regulatory Commission of Conducting the Special Campaign to Control Unauthorized Enterprise-Related Service Fees Charged by Banks</w:t>
      </w: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No. 131 [2019] of the General Office of the China Banking and Insurance Regulatory Commission</w:t>
      </w:r>
    </w:p>
    <w:p>
      <w:pPr>
        <w:spacing w:line="140" w:lineRule="atLeast"/>
        <w:rPr>
          <w:rFonts w:asciiTheme="minorEastAsia" w:hAnsiTheme="minorEastAsia"/>
          <w:color w:val="000000" w:themeColor="text1"/>
          <w:sz w:val="24"/>
          <w14:textFill>
            <w14:solidFill>
              <w14:schemeClr w14:val="tx1"/>
            </w14:solidFill>
          </w14:textFill>
        </w:rPr>
      </w:pP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国家发展改革委、银保监会《关于深入开展“信易贷”支持中小微企业融资的通知》（发改财金[2019] 1491号）</w:t>
      </w:r>
    </w:p>
    <w:p>
      <w:pPr>
        <w:spacing w:line="140" w:lineRule="atLeast"/>
        <w:rPr>
          <w:rFonts w:asciiTheme="minorEastAsia" w:hAnsiTheme="minorEastAsia"/>
          <w:i/>
          <w:iCs/>
          <w:color w:val="000000" w:themeColor="text1"/>
          <w:sz w:val="24"/>
          <w14:textFill>
            <w14:solidFill>
              <w14:schemeClr w14:val="tx1"/>
            </w14:solidFill>
          </w14:textFill>
        </w:rPr>
      </w:pPr>
      <w:r>
        <w:rPr>
          <w:rFonts w:hint="eastAsia" w:asciiTheme="minorEastAsia" w:hAnsiTheme="minorEastAsia"/>
          <w:i/>
          <w:iCs/>
          <w:color w:val="000000" w:themeColor="text1"/>
          <w:sz w:val="24"/>
          <w14:textFill>
            <w14:solidFill>
              <w14:schemeClr w14:val="tx1"/>
            </w14:solidFill>
          </w14:textFill>
        </w:rPr>
        <w:t>Notice by the National Development and Reform Commission and the China Banking and Insurance Regulatory Commission of Further Conducting the Work Relating to the “</w:t>
      </w:r>
      <w:r>
        <w:rPr>
          <w:rFonts w:asciiTheme="minorEastAsia" w:hAnsiTheme="minorEastAsia"/>
          <w:i/>
          <w:iCs/>
          <w:color w:val="000000" w:themeColor="text1"/>
          <w:sz w:val="24"/>
          <w14:textFill>
            <w14:solidFill>
              <w14:schemeClr w14:val="tx1"/>
            </w14:solidFill>
          </w14:textFill>
        </w:rPr>
        <w:t>Easy Lending by Credit</w:t>
      </w:r>
      <w:r>
        <w:rPr>
          <w:rFonts w:hint="eastAsia" w:asciiTheme="minorEastAsia" w:hAnsiTheme="minorEastAsia"/>
          <w:i/>
          <w:iCs/>
          <w:color w:val="000000" w:themeColor="text1"/>
          <w:sz w:val="24"/>
          <w14:textFill>
            <w14:solidFill>
              <w14:schemeClr w14:val="tx1"/>
            </w14:solidFill>
          </w14:textFill>
        </w:rPr>
        <w:t>” Loan Business to Support the Financing of Micro, Small and Medium-Sized Enterprises</w:t>
      </w:r>
    </w:p>
    <w:p>
      <w:pPr>
        <w:spacing w:line="140" w:lineRule="atLeas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No. 1491 [2019] of the National Development and Reform Commission</w:t>
      </w:r>
    </w:p>
    <w:p>
      <w:pPr>
        <w:spacing w:line="140" w:lineRule="atLeast"/>
        <w:rPr>
          <w:rFonts w:asciiTheme="minorEastAsia" w:hAnsiTheme="minorEastAsia"/>
          <w:sz w:val="24"/>
        </w:rPr>
      </w:pPr>
    </w:p>
    <w:p>
      <w:pPr>
        <w:spacing w:line="140" w:lineRule="atLeast"/>
        <w:rPr>
          <w:rFonts w:asciiTheme="minorEastAsia" w:hAnsiTheme="minorEastAsia"/>
          <w:sz w:val="24"/>
        </w:rPr>
      </w:pPr>
      <w:r>
        <w:rPr>
          <w:rFonts w:hint="eastAsia" w:asciiTheme="minorEastAsia" w:hAnsiTheme="minorEastAsia"/>
          <w:sz w:val="24"/>
        </w:rPr>
        <w:t>2019年10月，国务院通过《优化营商环境条例》,已于2020年1月 1日起施行</w:t>
      </w:r>
    </w:p>
    <w:p>
      <w:pPr>
        <w:spacing w:line="140" w:lineRule="atLeast"/>
        <w:rPr>
          <w:rFonts w:asciiTheme="minorEastAsia" w:hAnsiTheme="minorEastAsia"/>
          <w:sz w:val="24"/>
        </w:rPr>
      </w:pPr>
      <w:r>
        <w:rPr>
          <w:rFonts w:hint="eastAsia" w:asciiTheme="minorEastAsia" w:hAnsiTheme="minorEastAsia"/>
          <w:i/>
          <w:iCs/>
          <w:color w:val="000000" w:themeColor="text1"/>
          <w:sz w:val="24"/>
          <w14:textFill>
            <w14:solidFill>
              <w14:schemeClr w14:val="tx1"/>
            </w14:solidFill>
          </w14:textFill>
        </w:rPr>
        <w:t xml:space="preserve">Regulation on Optimizing the Business Environment </w:t>
      </w:r>
      <w:r>
        <w:rPr>
          <w:rFonts w:hint="eastAsia" w:asciiTheme="minorEastAsia" w:hAnsiTheme="minorEastAsia"/>
          <w:sz w:val="24"/>
        </w:rPr>
        <w:t>was adopted by the State Council in October 2019,</w:t>
      </w:r>
      <w:r>
        <w:rPr>
          <w:rFonts w:asciiTheme="minorEastAsia" w:hAnsiTheme="minorEastAsia"/>
          <w:sz w:val="24"/>
        </w:rPr>
        <w:t xml:space="preserve"> </w:t>
      </w:r>
      <w:r>
        <w:rPr>
          <w:rFonts w:hint="eastAsia" w:asciiTheme="minorEastAsia" w:hAnsiTheme="minorEastAsia"/>
          <w:sz w:val="24"/>
        </w:rPr>
        <w:t>and went into effect on January 1, 2020.</w:t>
      </w:r>
    </w:p>
    <w:p>
      <w:pPr>
        <w:spacing w:line="140" w:lineRule="atLeast"/>
        <w:rPr>
          <w:rFonts w:asciiTheme="minorEastAsia" w:hAnsiTheme="minorEastAsia"/>
          <w:sz w:val="24"/>
        </w:rPr>
      </w:pPr>
    </w:p>
    <w:p>
      <w:pPr>
        <w:spacing w:line="140" w:lineRule="atLeast"/>
        <w:rPr>
          <w:rFonts w:asciiTheme="minorEastAsia" w:hAnsiTheme="minorEastAsia"/>
          <w:color w:val="FFFFFF" w:themeColor="background1"/>
          <w:sz w:val="32"/>
          <w:szCs w:val="32"/>
          <w:highlight w:val="blue"/>
          <w14:textFill>
            <w14:solidFill>
              <w14:schemeClr w14:val="bg1"/>
            </w14:solidFill>
          </w14:textFill>
        </w:rPr>
      </w:pPr>
      <w:r>
        <w:rPr>
          <w:rFonts w:hint="eastAsia" w:asciiTheme="minorEastAsia" w:hAnsiTheme="minorEastAsia"/>
          <w:color w:val="FFFFFF" w:themeColor="background1"/>
          <w:sz w:val="32"/>
          <w:szCs w:val="32"/>
          <w:highlight w:val="blue"/>
          <w14:textFill>
            <w14:solidFill>
              <w14:schemeClr w14:val="bg1"/>
            </w14:solidFill>
          </w14:textFill>
        </w:rPr>
        <w:t>二、重庆市政策文件</w:t>
      </w:r>
    </w:p>
    <w:p>
      <w:pPr>
        <w:spacing w:line="140" w:lineRule="atLeast"/>
        <w:rPr>
          <w:rFonts w:asciiTheme="minorEastAsia" w:hAnsiTheme="minorEastAsia"/>
          <w:sz w:val="24"/>
        </w:rPr>
      </w:pPr>
      <w:r>
        <w:rPr>
          <w:rFonts w:hint="eastAsia" w:asciiTheme="minorEastAsia" w:hAnsiTheme="minorEastAsia"/>
          <w:sz w:val="24"/>
        </w:rPr>
        <w:t>Ⅱ. Policy Document</w:t>
      </w:r>
      <w:r>
        <w:rPr>
          <w:rFonts w:asciiTheme="minorEastAsia" w:hAnsiTheme="minorEastAsia"/>
          <w:sz w:val="24"/>
        </w:rPr>
        <w:t>s</w:t>
      </w:r>
      <w:r>
        <w:rPr>
          <w:rFonts w:hint="eastAsia" w:asciiTheme="minorEastAsia" w:hAnsiTheme="minorEastAsia"/>
          <w:sz w:val="24"/>
        </w:rPr>
        <w:t xml:space="preserve"> </w:t>
      </w:r>
      <w:r>
        <w:rPr>
          <w:rFonts w:asciiTheme="minorEastAsia" w:hAnsiTheme="minorEastAsia"/>
          <w:sz w:val="24"/>
        </w:rPr>
        <w:t xml:space="preserve">of </w:t>
      </w:r>
      <w:r>
        <w:rPr>
          <w:rFonts w:hint="eastAsia" w:asciiTheme="minorEastAsia" w:hAnsiTheme="minorEastAsia"/>
          <w:sz w:val="24"/>
        </w:rPr>
        <w:t>Chongqing</w:t>
      </w:r>
      <w:r>
        <w:rPr>
          <w:rFonts w:asciiTheme="minorEastAsia" w:hAnsiTheme="minorEastAsia"/>
          <w:sz w:val="24"/>
        </w:rPr>
        <w:t xml:space="preserve"> M</w:t>
      </w:r>
      <w:r>
        <w:rPr>
          <w:rFonts w:hint="eastAsia" w:asciiTheme="minorEastAsia" w:hAnsiTheme="minorEastAsia"/>
          <w:sz w:val="24"/>
        </w:rPr>
        <w:t>unicipality</w:t>
      </w:r>
    </w:p>
    <w:p>
      <w:pPr>
        <w:spacing w:line="140" w:lineRule="atLeast"/>
        <w:rPr>
          <w:rFonts w:asciiTheme="minorEastAsia" w:hAnsiTheme="minorEastAsia"/>
          <w:sz w:val="24"/>
        </w:rPr>
      </w:pPr>
      <w:r>
        <w:rPr>
          <w:rFonts w:hint="eastAsia" w:asciiTheme="minorEastAsia" w:hAnsiTheme="minorEastAsia"/>
          <w:sz w:val="24"/>
        </w:rPr>
        <w:t>《重庆市人民政府关于印发重庆市推进普惠金融发展工作方案的通知》（渝府发〔2018〕5号）</w:t>
      </w:r>
    </w:p>
    <w:p>
      <w:pPr>
        <w:spacing w:line="140" w:lineRule="atLeast"/>
        <w:rPr>
          <w:rFonts w:asciiTheme="minorEastAsia" w:hAnsiTheme="minorEastAsia"/>
          <w:i/>
          <w:iCs/>
          <w:sz w:val="24"/>
        </w:rPr>
      </w:pPr>
      <w:r>
        <w:rPr>
          <w:rFonts w:hint="eastAsia" w:asciiTheme="minorEastAsia" w:hAnsiTheme="minorEastAsia"/>
          <w:i/>
          <w:iCs/>
          <w:sz w:val="24"/>
        </w:rPr>
        <w:t xml:space="preserve">Notice by the Chongqing Municipal People's Government of </w:t>
      </w:r>
      <w:r>
        <w:rPr>
          <w:rFonts w:asciiTheme="minorEastAsia" w:hAnsiTheme="minorEastAsia"/>
          <w:color w:val="000000" w:themeColor="text1"/>
          <w:sz w:val="24"/>
          <w14:textFill>
            <w14:solidFill>
              <w14:schemeClr w14:val="tx1"/>
            </w14:solidFill>
          </w14:textFill>
        </w:rPr>
        <w:t>Issuing</w:t>
      </w:r>
      <w:r>
        <w:rPr>
          <w:rFonts w:hint="eastAsia" w:asciiTheme="minorEastAsia" w:hAnsiTheme="minorEastAsia"/>
          <w:i/>
          <w:iCs/>
          <w:sz w:val="24"/>
        </w:rPr>
        <w:t xml:space="preserve"> the Work</w:t>
      </w:r>
      <w:r>
        <w:rPr>
          <w:rFonts w:hint="eastAsia" w:asciiTheme="minorEastAsia" w:hAnsiTheme="minorEastAsia"/>
          <w:i/>
          <w:iCs/>
          <w:color w:val="FF0000"/>
          <w:sz w:val="24"/>
        </w:rPr>
        <w:t xml:space="preserve"> </w:t>
      </w:r>
      <w:r>
        <w:rPr>
          <w:rFonts w:hint="eastAsia" w:asciiTheme="minorEastAsia" w:hAnsiTheme="minorEastAsia"/>
          <w:i/>
          <w:iCs/>
          <w:sz w:val="24"/>
        </w:rPr>
        <w:t>Plan</w:t>
      </w:r>
      <w:r>
        <w:rPr>
          <w:rFonts w:asciiTheme="minorEastAsia" w:hAnsiTheme="minorEastAsia"/>
          <w:i/>
          <w:iCs/>
          <w:sz w:val="24"/>
        </w:rPr>
        <w:t xml:space="preserve"> </w:t>
      </w:r>
      <w:r>
        <w:rPr>
          <w:rFonts w:hint="eastAsia" w:asciiTheme="minorEastAsia" w:hAnsiTheme="minorEastAsia"/>
          <w:i/>
          <w:iCs/>
          <w:sz w:val="24"/>
        </w:rPr>
        <w:t xml:space="preserve">for Promoting the Development of Inclusive Finance of Chongqing Municipality  </w:t>
      </w:r>
    </w:p>
    <w:p>
      <w:pPr>
        <w:spacing w:line="140" w:lineRule="atLeast"/>
        <w:rPr>
          <w:rFonts w:asciiTheme="minorEastAsia" w:hAnsiTheme="minorEastAsia"/>
          <w:sz w:val="24"/>
        </w:rPr>
      </w:pPr>
      <w:r>
        <w:rPr>
          <w:rFonts w:hint="eastAsia" w:asciiTheme="minorEastAsia" w:hAnsiTheme="minorEastAsia"/>
          <w:sz w:val="24"/>
        </w:rPr>
        <w:t>No.5</w:t>
      </w:r>
      <w:r>
        <w:rPr>
          <w:rFonts w:asciiTheme="minorEastAsia" w:hAnsiTheme="minorEastAsia"/>
          <w:sz w:val="24"/>
        </w:rPr>
        <w:t xml:space="preserve"> </w:t>
      </w:r>
      <w:r>
        <w:rPr>
          <w:rFonts w:hint="eastAsia" w:asciiTheme="minorEastAsia" w:hAnsiTheme="minorEastAsia"/>
          <w:sz w:val="24"/>
        </w:rPr>
        <w:t>[2018] of</w:t>
      </w:r>
      <w:r>
        <w:rPr>
          <w:rFonts w:asciiTheme="minorEastAsia" w:hAnsiTheme="minorEastAsia"/>
          <w:sz w:val="24"/>
        </w:rPr>
        <w:t xml:space="preserve"> the</w:t>
      </w:r>
      <w:r>
        <w:rPr>
          <w:rFonts w:hint="eastAsia" w:asciiTheme="minorEastAsia" w:hAnsiTheme="minorEastAsia"/>
          <w:sz w:val="24"/>
        </w:rPr>
        <w:t xml:space="preserve"> Chongqing Municipal People</w:t>
      </w:r>
      <w:r>
        <w:rPr>
          <w:rFonts w:asciiTheme="minorEastAsia" w:hAnsiTheme="minorEastAsia"/>
          <w:sz w:val="24"/>
        </w:rPr>
        <w:t>’</w:t>
      </w:r>
      <w:r>
        <w:rPr>
          <w:rFonts w:hint="eastAsia" w:asciiTheme="minorEastAsia" w:hAnsiTheme="minorEastAsia"/>
          <w:sz w:val="24"/>
        </w:rPr>
        <w:t>s Government</w:t>
      </w:r>
    </w:p>
    <w:p>
      <w:pPr>
        <w:spacing w:line="140" w:lineRule="atLeast"/>
        <w:rPr>
          <w:rFonts w:asciiTheme="minorEastAsia" w:hAnsiTheme="minorEastAsia"/>
          <w:sz w:val="24"/>
        </w:rPr>
      </w:pPr>
    </w:p>
    <w:p>
      <w:pPr>
        <w:spacing w:line="140" w:lineRule="atLeast"/>
        <w:rPr>
          <w:rFonts w:asciiTheme="minorEastAsia" w:hAnsiTheme="minorEastAsia"/>
          <w:sz w:val="24"/>
        </w:rPr>
      </w:pPr>
      <w:r>
        <w:rPr>
          <w:rFonts w:hint="eastAsia" w:asciiTheme="minorEastAsia" w:hAnsiTheme="minorEastAsia"/>
          <w:sz w:val="24"/>
        </w:rPr>
        <w:t>《重庆市人民政府办公厅关于印发重庆市银行业支持实体经济发展若干措施的通知》（渝府办发〔2018〕123号）</w:t>
      </w:r>
    </w:p>
    <w:p>
      <w:pPr>
        <w:spacing w:line="140" w:lineRule="atLeast"/>
        <w:rPr>
          <w:rFonts w:asciiTheme="minorEastAsia" w:hAnsiTheme="minorEastAsia"/>
          <w:i/>
          <w:iCs/>
          <w:sz w:val="24"/>
        </w:rPr>
      </w:pPr>
      <w:r>
        <w:rPr>
          <w:rFonts w:hint="eastAsia" w:asciiTheme="minorEastAsia" w:hAnsiTheme="minorEastAsia"/>
          <w:i/>
          <w:iCs/>
          <w:sz w:val="24"/>
        </w:rPr>
        <w:t xml:space="preserve">Notice by the General Office of the Chongqing Municipal People's Government of </w:t>
      </w:r>
      <w:r>
        <w:rPr>
          <w:rFonts w:asciiTheme="minorEastAsia" w:hAnsiTheme="minorEastAsia"/>
          <w:sz w:val="24"/>
        </w:rPr>
        <w:t>Issuing</w:t>
      </w:r>
      <w:r>
        <w:rPr>
          <w:rFonts w:hint="eastAsia" w:asciiTheme="minorEastAsia" w:hAnsiTheme="minorEastAsia"/>
          <w:i/>
          <w:iCs/>
          <w:sz w:val="24"/>
        </w:rPr>
        <w:t xml:space="preserve"> Several Measures of the Chongqing Banking Industry to Support the Development of the Real Economy </w:t>
      </w:r>
    </w:p>
    <w:p>
      <w:pPr>
        <w:spacing w:line="140" w:lineRule="atLeast"/>
        <w:rPr>
          <w:rFonts w:asciiTheme="minorEastAsia" w:hAnsiTheme="minorEastAsia"/>
          <w:sz w:val="24"/>
        </w:rPr>
      </w:pPr>
      <w:r>
        <w:rPr>
          <w:rFonts w:hint="eastAsia" w:asciiTheme="minorEastAsia" w:hAnsiTheme="minorEastAsia"/>
          <w:sz w:val="24"/>
        </w:rPr>
        <w:t>No. 123 [2018] of</w:t>
      </w:r>
      <w:r>
        <w:rPr>
          <w:rFonts w:asciiTheme="minorEastAsia" w:hAnsiTheme="minorEastAsia"/>
          <w:sz w:val="24"/>
        </w:rPr>
        <w:t xml:space="preserve"> the</w:t>
      </w:r>
      <w:r>
        <w:rPr>
          <w:rFonts w:hint="eastAsia" w:asciiTheme="minorEastAsia" w:hAnsiTheme="minorEastAsia"/>
          <w:sz w:val="24"/>
        </w:rPr>
        <w:t xml:space="preserve"> General Office of </w:t>
      </w:r>
      <w:r>
        <w:rPr>
          <w:rFonts w:asciiTheme="minorEastAsia" w:hAnsiTheme="minorEastAsia"/>
          <w:sz w:val="24"/>
        </w:rPr>
        <w:t xml:space="preserve">the </w:t>
      </w:r>
      <w:r>
        <w:rPr>
          <w:rFonts w:hint="eastAsia" w:asciiTheme="minorEastAsia" w:hAnsiTheme="minorEastAsia"/>
          <w:sz w:val="24"/>
        </w:rPr>
        <w:t>Chongqing Municipal People</w:t>
      </w:r>
      <w:r>
        <w:rPr>
          <w:rFonts w:asciiTheme="minorEastAsia" w:hAnsiTheme="minorEastAsia"/>
          <w:sz w:val="24"/>
        </w:rPr>
        <w:t>’</w:t>
      </w:r>
      <w:r>
        <w:rPr>
          <w:rFonts w:hint="eastAsia" w:asciiTheme="minorEastAsia" w:hAnsiTheme="minorEastAsia"/>
          <w:sz w:val="24"/>
        </w:rPr>
        <w:t>s Government</w:t>
      </w:r>
    </w:p>
    <w:p>
      <w:pPr>
        <w:spacing w:line="140" w:lineRule="atLeast"/>
        <w:rPr>
          <w:rFonts w:asciiTheme="minorEastAsia" w:hAnsiTheme="minorEastAsia"/>
          <w:i/>
          <w:iCs/>
          <w:sz w:val="24"/>
        </w:rPr>
      </w:pPr>
    </w:p>
    <w:p>
      <w:pPr>
        <w:spacing w:line="140" w:lineRule="atLeast"/>
        <w:rPr>
          <w:rFonts w:asciiTheme="minorEastAsia" w:hAnsiTheme="minorEastAsia"/>
          <w:sz w:val="24"/>
        </w:rPr>
      </w:pPr>
      <w:r>
        <w:rPr>
          <w:rFonts w:hint="eastAsia" w:asciiTheme="minorEastAsia" w:hAnsiTheme="minorEastAsia"/>
          <w:sz w:val="24"/>
        </w:rPr>
        <w:t>《中共重庆市委办公厅重庆市人民政府办公厅印发&lt;关于加强金融服务民营企业的具体措施&gt;的通知》（渝委办〔2019〕76号）</w:t>
      </w:r>
    </w:p>
    <w:p>
      <w:pPr>
        <w:spacing w:line="140" w:lineRule="atLeast"/>
        <w:rPr>
          <w:rFonts w:asciiTheme="minorEastAsia" w:hAnsiTheme="minorEastAsia"/>
          <w:i/>
          <w:iCs/>
          <w:sz w:val="24"/>
        </w:rPr>
      </w:pPr>
      <w:r>
        <w:rPr>
          <w:rFonts w:hint="eastAsia" w:asciiTheme="minorEastAsia" w:hAnsiTheme="minorEastAsia"/>
          <w:sz w:val="24"/>
        </w:rPr>
        <w:t xml:space="preserve">Notice by </w:t>
      </w:r>
      <w:r>
        <w:rPr>
          <w:rFonts w:asciiTheme="minorEastAsia" w:hAnsiTheme="minorEastAsia"/>
          <w:sz w:val="24"/>
        </w:rPr>
        <w:t xml:space="preserve">the </w:t>
      </w:r>
      <w:r>
        <w:rPr>
          <w:rFonts w:hint="eastAsia" w:asciiTheme="minorEastAsia" w:hAnsiTheme="minorEastAsia"/>
          <w:sz w:val="24"/>
        </w:rPr>
        <w:t xml:space="preserve">General Office of the Chongqing Municipal Committee of the </w:t>
      </w:r>
      <w:r>
        <w:rPr>
          <w:rFonts w:asciiTheme="minorEastAsia" w:hAnsiTheme="minorEastAsia"/>
          <w:sz w:val="24"/>
        </w:rPr>
        <w:t xml:space="preserve">Chinese </w:t>
      </w:r>
      <w:r>
        <w:rPr>
          <w:rFonts w:hint="eastAsia" w:asciiTheme="minorEastAsia" w:hAnsiTheme="minorEastAsia"/>
          <w:sz w:val="24"/>
        </w:rPr>
        <w:t xml:space="preserve">Communist Party and </w:t>
      </w:r>
      <w:r>
        <w:rPr>
          <w:rFonts w:asciiTheme="minorEastAsia" w:hAnsiTheme="minorEastAsia"/>
          <w:sz w:val="24"/>
        </w:rPr>
        <w:t xml:space="preserve">the </w:t>
      </w:r>
      <w:r>
        <w:rPr>
          <w:rFonts w:hint="eastAsia" w:asciiTheme="minorEastAsia" w:hAnsiTheme="minorEastAsia"/>
          <w:sz w:val="24"/>
        </w:rPr>
        <w:t>General Office of</w:t>
      </w:r>
      <w:r>
        <w:rPr>
          <w:rFonts w:asciiTheme="minorEastAsia" w:hAnsiTheme="minorEastAsia"/>
          <w:sz w:val="24"/>
        </w:rPr>
        <w:t xml:space="preserve"> the </w:t>
      </w:r>
      <w:r>
        <w:rPr>
          <w:rFonts w:hint="eastAsia" w:asciiTheme="minorEastAsia" w:hAnsiTheme="minorEastAsia"/>
          <w:sz w:val="24"/>
        </w:rPr>
        <w:t xml:space="preserve">Chongqing Municipal People's Government of </w:t>
      </w:r>
      <w:r>
        <w:rPr>
          <w:rFonts w:asciiTheme="minorEastAsia" w:hAnsiTheme="minorEastAsia"/>
          <w:sz w:val="24"/>
        </w:rPr>
        <w:t>Issuing</w:t>
      </w:r>
      <w:r>
        <w:rPr>
          <w:rFonts w:hint="eastAsia" w:asciiTheme="minorEastAsia" w:hAnsiTheme="minorEastAsia"/>
          <w:i/>
          <w:iCs/>
          <w:sz w:val="24"/>
        </w:rPr>
        <w:t xml:space="preserve"> Specific </w:t>
      </w:r>
      <w:r>
        <w:rPr>
          <w:rFonts w:asciiTheme="minorEastAsia" w:hAnsiTheme="minorEastAsia"/>
          <w:i/>
          <w:iCs/>
          <w:sz w:val="24"/>
        </w:rPr>
        <w:t>M</w:t>
      </w:r>
      <w:r>
        <w:rPr>
          <w:rFonts w:hint="eastAsia" w:asciiTheme="minorEastAsia" w:hAnsiTheme="minorEastAsia"/>
          <w:i/>
          <w:iCs/>
          <w:sz w:val="24"/>
        </w:rPr>
        <w:t xml:space="preserve">easures to </w:t>
      </w:r>
      <w:r>
        <w:rPr>
          <w:rFonts w:asciiTheme="minorEastAsia" w:hAnsiTheme="minorEastAsia"/>
          <w:i/>
          <w:iCs/>
          <w:sz w:val="24"/>
        </w:rPr>
        <w:t>S</w:t>
      </w:r>
      <w:r>
        <w:rPr>
          <w:rFonts w:hint="eastAsia" w:asciiTheme="minorEastAsia" w:hAnsiTheme="minorEastAsia"/>
          <w:i/>
          <w:iCs/>
          <w:sz w:val="24"/>
        </w:rPr>
        <w:t xml:space="preserve">trengthen </w:t>
      </w:r>
      <w:r>
        <w:rPr>
          <w:rFonts w:asciiTheme="minorEastAsia" w:hAnsiTheme="minorEastAsia"/>
          <w:i/>
          <w:iCs/>
          <w:sz w:val="24"/>
        </w:rPr>
        <w:t>F</w:t>
      </w:r>
      <w:r>
        <w:rPr>
          <w:rFonts w:hint="eastAsia" w:asciiTheme="minorEastAsia" w:hAnsiTheme="minorEastAsia"/>
          <w:i/>
          <w:iCs/>
          <w:sz w:val="24"/>
        </w:rPr>
        <w:t xml:space="preserve">inancial </w:t>
      </w:r>
      <w:r>
        <w:rPr>
          <w:rFonts w:asciiTheme="minorEastAsia" w:hAnsiTheme="minorEastAsia"/>
          <w:i/>
          <w:iCs/>
          <w:sz w:val="24"/>
        </w:rPr>
        <w:t>S</w:t>
      </w:r>
      <w:r>
        <w:rPr>
          <w:rFonts w:hint="eastAsia" w:asciiTheme="minorEastAsia" w:hAnsiTheme="minorEastAsia"/>
          <w:i/>
          <w:iCs/>
          <w:sz w:val="24"/>
        </w:rPr>
        <w:t xml:space="preserve">ervice </w:t>
      </w:r>
      <w:r>
        <w:rPr>
          <w:rFonts w:asciiTheme="minorEastAsia" w:hAnsiTheme="minorEastAsia"/>
          <w:i/>
          <w:iCs/>
          <w:sz w:val="24"/>
        </w:rPr>
        <w:t>for</w:t>
      </w:r>
      <w:r>
        <w:rPr>
          <w:rFonts w:hint="eastAsia" w:asciiTheme="minorEastAsia" w:hAnsiTheme="minorEastAsia"/>
          <w:i/>
          <w:iCs/>
          <w:sz w:val="24"/>
        </w:rPr>
        <w:t xml:space="preserve"> </w:t>
      </w:r>
      <w:r>
        <w:rPr>
          <w:rFonts w:asciiTheme="minorEastAsia" w:hAnsiTheme="minorEastAsia"/>
          <w:i/>
          <w:iCs/>
          <w:sz w:val="24"/>
        </w:rPr>
        <w:t>P</w:t>
      </w:r>
      <w:r>
        <w:rPr>
          <w:rFonts w:hint="eastAsia" w:asciiTheme="minorEastAsia" w:hAnsiTheme="minorEastAsia"/>
          <w:i/>
          <w:iCs/>
          <w:sz w:val="24"/>
        </w:rPr>
        <w:t xml:space="preserve">rivate </w:t>
      </w:r>
      <w:r>
        <w:rPr>
          <w:rFonts w:asciiTheme="minorEastAsia" w:hAnsiTheme="minorEastAsia"/>
          <w:i/>
          <w:iCs/>
          <w:sz w:val="24"/>
        </w:rPr>
        <w:t>E</w:t>
      </w:r>
      <w:r>
        <w:rPr>
          <w:rFonts w:hint="eastAsia" w:asciiTheme="minorEastAsia" w:hAnsiTheme="minorEastAsia"/>
          <w:i/>
          <w:iCs/>
          <w:sz w:val="24"/>
        </w:rPr>
        <w:t>nterprises</w:t>
      </w:r>
    </w:p>
    <w:p>
      <w:pPr>
        <w:spacing w:line="140" w:lineRule="atLeast"/>
        <w:rPr>
          <w:rFonts w:asciiTheme="minorEastAsia" w:hAnsiTheme="minorEastAsia"/>
          <w:sz w:val="24"/>
        </w:rPr>
      </w:pPr>
      <w:r>
        <w:rPr>
          <w:rFonts w:hint="eastAsia" w:asciiTheme="minorEastAsia" w:hAnsiTheme="minorEastAsia"/>
          <w:sz w:val="24"/>
        </w:rPr>
        <w:t>No.76</w:t>
      </w:r>
      <w:r>
        <w:rPr>
          <w:rFonts w:asciiTheme="minorEastAsia" w:hAnsiTheme="minorEastAsia"/>
          <w:sz w:val="24"/>
        </w:rPr>
        <w:t xml:space="preserve"> </w:t>
      </w:r>
      <w:r>
        <w:rPr>
          <w:rFonts w:hint="eastAsia" w:asciiTheme="minorEastAsia" w:hAnsiTheme="minorEastAsia"/>
          <w:sz w:val="24"/>
        </w:rPr>
        <w:t xml:space="preserve">[2019] of </w:t>
      </w:r>
      <w:r>
        <w:rPr>
          <w:rFonts w:asciiTheme="minorEastAsia" w:hAnsiTheme="minorEastAsia"/>
          <w:sz w:val="24"/>
        </w:rPr>
        <w:t xml:space="preserve">the </w:t>
      </w:r>
      <w:r>
        <w:rPr>
          <w:rFonts w:hint="eastAsia" w:asciiTheme="minorEastAsia" w:hAnsiTheme="minorEastAsia"/>
          <w:sz w:val="24"/>
        </w:rPr>
        <w:t xml:space="preserve">General Office of the Chongqing Municipal Committee of the </w:t>
      </w:r>
      <w:r>
        <w:rPr>
          <w:rFonts w:asciiTheme="minorEastAsia" w:hAnsiTheme="minorEastAsia"/>
          <w:sz w:val="24"/>
        </w:rPr>
        <w:t xml:space="preserve">Chinese </w:t>
      </w:r>
      <w:r>
        <w:rPr>
          <w:rFonts w:hint="eastAsia" w:asciiTheme="minorEastAsia" w:hAnsiTheme="minorEastAsia"/>
          <w:sz w:val="24"/>
        </w:rPr>
        <w:t>Communist Party</w:t>
      </w:r>
    </w:p>
    <w:p>
      <w:pPr>
        <w:spacing w:line="140" w:lineRule="atLeast"/>
        <w:rPr>
          <w:rFonts w:asciiTheme="minorEastAsia" w:hAnsiTheme="minorEastAsia"/>
          <w:sz w:val="24"/>
        </w:rPr>
      </w:pPr>
    </w:p>
    <w:p>
      <w:pPr>
        <w:spacing w:line="140" w:lineRule="atLeast"/>
        <w:rPr>
          <w:rFonts w:asciiTheme="minorEastAsia" w:hAnsiTheme="minorEastAsia"/>
          <w:sz w:val="24"/>
        </w:rPr>
      </w:pPr>
      <w:r>
        <w:rPr>
          <w:rFonts w:hint="eastAsia" w:asciiTheme="minorEastAsia" w:hAnsiTheme="minorEastAsia"/>
          <w:sz w:val="24"/>
        </w:rPr>
        <w:t>《重庆市人民政府办公厅关于印发进一步支持实体经济企业健康发展若干政策措施的通知》（渝府办发〔2019〕1号）</w:t>
      </w:r>
    </w:p>
    <w:p>
      <w:pPr>
        <w:spacing w:line="140" w:lineRule="atLeast"/>
        <w:rPr>
          <w:rFonts w:asciiTheme="minorEastAsia" w:hAnsiTheme="minorEastAsia"/>
          <w:i/>
          <w:iCs/>
          <w:sz w:val="24"/>
        </w:rPr>
      </w:pPr>
      <w:r>
        <w:rPr>
          <w:rFonts w:hint="eastAsia" w:asciiTheme="minorEastAsia" w:hAnsiTheme="minorEastAsia"/>
          <w:i/>
          <w:iCs/>
          <w:sz w:val="24"/>
        </w:rPr>
        <w:t xml:space="preserve">Notice by </w:t>
      </w:r>
      <w:r>
        <w:rPr>
          <w:rFonts w:asciiTheme="minorEastAsia" w:hAnsiTheme="minorEastAsia"/>
          <w:i/>
          <w:iCs/>
          <w:sz w:val="24"/>
        </w:rPr>
        <w:t xml:space="preserve">the </w:t>
      </w:r>
      <w:r>
        <w:rPr>
          <w:rFonts w:hint="eastAsia" w:asciiTheme="minorEastAsia" w:hAnsiTheme="minorEastAsia"/>
          <w:i/>
          <w:iCs/>
          <w:sz w:val="24"/>
        </w:rPr>
        <w:t xml:space="preserve">General Office of the Chongqing Municipal People's Government of </w:t>
      </w:r>
      <w:r>
        <w:rPr>
          <w:rFonts w:asciiTheme="minorEastAsia" w:hAnsiTheme="minorEastAsia"/>
          <w:i/>
          <w:iCs/>
          <w:sz w:val="24"/>
        </w:rPr>
        <w:t>Issuing</w:t>
      </w:r>
      <w:r>
        <w:rPr>
          <w:rFonts w:hint="eastAsia" w:asciiTheme="minorEastAsia" w:hAnsiTheme="minorEastAsia"/>
          <w:i/>
          <w:iCs/>
          <w:sz w:val="24"/>
        </w:rPr>
        <w:t xml:space="preserve"> Polic</w:t>
      </w:r>
      <w:r>
        <w:rPr>
          <w:rFonts w:asciiTheme="minorEastAsia" w:hAnsiTheme="minorEastAsia"/>
          <w:i/>
          <w:iCs/>
          <w:sz w:val="24"/>
        </w:rPr>
        <w:t>ies and</w:t>
      </w:r>
      <w:r>
        <w:rPr>
          <w:rFonts w:hint="eastAsia" w:asciiTheme="minorEastAsia" w:hAnsiTheme="minorEastAsia"/>
          <w:i/>
          <w:iCs/>
          <w:sz w:val="24"/>
        </w:rPr>
        <w:t xml:space="preserve"> Measures to Further Support the Healthy Development of Enterprises in the Real Economy </w:t>
      </w:r>
    </w:p>
    <w:p>
      <w:pPr>
        <w:spacing w:line="140" w:lineRule="atLeast"/>
        <w:rPr>
          <w:rFonts w:asciiTheme="minorEastAsia" w:hAnsiTheme="minorEastAsia"/>
          <w:sz w:val="24"/>
        </w:rPr>
      </w:pPr>
      <w:r>
        <w:rPr>
          <w:rFonts w:hint="eastAsia" w:asciiTheme="minorEastAsia" w:hAnsiTheme="minorEastAsia"/>
          <w:sz w:val="24"/>
        </w:rPr>
        <w:t xml:space="preserve">No. 1 [2019] of </w:t>
      </w:r>
      <w:r>
        <w:rPr>
          <w:rFonts w:asciiTheme="minorEastAsia" w:hAnsiTheme="minorEastAsia"/>
          <w:sz w:val="24"/>
        </w:rPr>
        <w:t xml:space="preserve">the </w:t>
      </w:r>
      <w:r>
        <w:rPr>
          <w:rFonts w:hint="eastAsia" w:asciiTheme="minorEastAsia" w:hAnsiTheme="minorEastAsia"/>
          <w:sz w:val="24"/>
        </w:rPr>
        <w:t>General Office of</w:t>
      </w:r>
      <w:r>
        <w:rPr>
          <w:rFonts w:asciiTheme="minorEastAsia" w:hAnsiTheme="minorEastAsia"/>
          <w:sz w:val="24"/>
        </w:rPr>
        <w:t xml:space="preserve"> the</w:t>
      </w:r>
      <w:r>
        <w:rPr>
          <w:rFonts w:hint="eastAsia" w:asciiTheme="minorEastAsia" w:hAnsiTheme="minorEastAsia"/>
          <w:sz w:val="24"/>
        </w:rPr>
        <w:t xml:space="preserve"> Chongqing Municipal People</w:t>
      </w:r>
      <w:r>
        <w:rPr>
          <w:rFonts w:asciiTheme="minorEastAsia" w:hAnsiTheme="minorEastAsia"/>
          <w:sz w:val="24"/>
        </w:rPr>
        <w:t>’</w:t>
      </w:r>
      <w:r>
        <w:rPr>
          <w:rFonts w:hint="eastAsia" w:asciiTheme="minorEastAsia" w:hAnsiTheme="minorEastAsia"/>
          <w:sz w:val="24"/>
        </w:rPr>
        <w:t>s Government</w:t>
      </w:r>
    </w:p>
    <w:p>
      <w:pPr>
        <w:spacing w:line="140" w:lineRule="atLeast"/>
        <w:rPr>
          <w:rFonts w:asciiTheme="minorEastAsia" w:hAnsiTheme="minorEastAsia"/>
          <w:sz w:val="24"/>
        </w:rPr>
      </w:pPr>
    </w:p>
    <w:p>
      <w:pPr>
        <w:spacing w:line="140" w:lineRule="atLeast"/>
        <w:rPr>
          <w:rFonts w:asciiTheme="minorEastAsia" w:hAnsiTheme="minorEastAsia"/>
          <w:sz w:val="24"/>
        </w:rPr>
      </w:pPr>
      <w:r>
        <w:rPr>
          <w:rFonts w:hint="eastAsia" w:asciiTheme="minorEastAsia" w:hAnsiTheme="minorEastAsia"/>
          <w:sz w:val="24"/>
        </w:rPr>
        <w:t>《重庆市人民政府办公厅&lt;关于印发重庆市营商环境优化提升工作方案的通知&gt;》（渝府办发〔2019〕81号）</w:t>
      </w:r>
    </w:p>
    <w:p>
      <w:pPr>
        <w:spacing w:line="140" w:lineRule="atLeast"/>
        <w:rPr>
          <w:rFonts w:asciiTheme="minorEastAsia" w:hAnsiTheme="minorEastAsia"/>
          <w:i/>
          <w:iCs/>
          <w:sz w:val="24"/>
        </w:rPr>
      </w:pPr>
      <w:r>
        <w:rPr>
          <w:rFonts w:hint="eastAsia" w:asciiTheme="minorEastAsia" w:hAnsiTheme="minorEastAsia"/>
          <w:sz w:val="24"/>
        </w:rPr>
        <w:t xml:space="preserve">Notice by </w:t>
      </w:r>
      <w:r>
        <w:rPr>
          <w:rFonts w:asciiTheme="minorEastAsia" w:hAnsiTheme="minorEastAsia"/>
          <w:sz w:val="24"/>
        </w:rPr>
        <w:t xml:space="preserve">the </w:t>
      </w:r>
      <w:r>
        <w:rPr>
          <w:rFonts w:hint="eastAsia" w:asciiTheme="minorEastAsia" w:hAnsiTheme="minorEastAsia"/>
          <w:sz w:val="24"/>
        </w:rPr>
        <w:t>General Office of the Chongqing Municipal People's Government of</w:t>
      </w:r>
      <w:r>
        <w:rPr>
          <w:rFonts w:asciiTheme="minorEastAsia" w:hAnsiTheme="minorEastAsia"/>
          <w:sz w:val="24"/>
        </w:rPr>
        <w:t xml:space="preserve"> I</w:t>
      </w:r>
      <w:r>
        <w:rPr>
          <w:rFonts w:hint="eastAsia" w:asciiTheme="minorEastAsia" w:hAnsiTheme="minorEastAsia"/>
          <w:sz w:val="24"/>
        </w:rPr>
        <w:t>ssuing</w:t>
      </w:r>
      <w:r>
        <w:rPr>
          <w:rFonts w:asciiTheme="minorEastAsia" w:hAnsiTheme="minorEastAsia"/>
          <w:sz w:val="24"/>
        </w:rPr>
        <w:t xml:space="preserve"> </w:t>
      </w:r>
      <w:r>
        <w:rPr>
          <w:rFonts w:hint="eastAsia" w:asciiTheme="minorEastAsia" w:hAnsiTheme="minorEastAsia"/>
          <w:i/>
          <w:iCs/>
          <w:sz w:val="24"/>
        </w:rPr>
        <w:t xml:space="preserve">Work Plan </w:t>
      </w:r>
      <w:r>
        <w:rPr>
          <w:rFonts w:asciiTheme="minorEastAsia" w:hAnsiTheme="minorEastAsia"/>
          <w:i/>
          <w:iCs/>
          <w:sz w:val="24"/>
        </w:rPr>
        <w:t>for</w:t>
      </w:r>
      <w:r>
        <w:rPr>
          <w:rFonts w:hint="eastAsia" w:asciiTheme="minorEastAsia" w:hAnsiTheme="minorEastAsia"/>
          <w:i/>
          <w:iCs/>
          <w:sz w:val="24"/>
        </w:rPr>
        <w:t xml:space="preserve"> Optimizing and </w:t>
      </w:r>
      <w:r>
        <w:rPr>
          <w:rFonts w:asciiTheme="minorEastAsia" w:hAnsiTheme="minorEastAsia"/>
          <w:i/>
          <w:iCs/>
          <w:sz w:val="24"/>
        </w:rPr>
        <w:t>P</w:t>
      </w:r>
      <w:r>
        <w:rPr>
          <w:rFonts w:hint="eastAsia" w:asciiTheme="minorEastAsia" w:hAnsiTheme="minorEastAsia"/>
          <w:i/>
          <w:iCs/>
          <w:sz w:val="24"/>
        </w:rPr>
        <w:t>romoting Business Environment in Chongqing</w:t>
      </w:r>
      <w:r>
        <w:rPr>
          <w:rFonts w:asciiTheme="minorEastAsia" w:hAnsiTheme="minorEastAsia"/>
          <w:i/>
          <w:iCs/>
          <w:sz w:val="24"/>
        </w:rPr>
        <w:t xml:space="preserve"> Municip</w:t>
      </w:r>
      <w:r>
        <w:rPr>
          <w:rFonts w:hint="eastAsia" w:asciiTheme="minorEastAsia" w:hAnsiTheme="minorEastAsia"/>
          <w:i/>
          <w:iCs/>
          <w:sz w:val="24"/>
        </w:rPr>
        <w:t>a</w:t>
      </w:r>
      <w:r>
        <w:rPr>
          <w:rFonts w:asciiTheme="minorEastAsia" w:hAnsiTheme="minorEastAsia"/>
          <w:i/>
          <w:iCs/>
          <w:sz w:val="24"/>
        </w:rPr>
        <w:t>lity</w:t>
      </w:r>
      <w:r>
        <w:rPr>
          <w:rFonts w:hint="eastAsia" w:asciiTheme="minorEastAsia" w:hAnsiTheme="minorEastAsia"/>
          <w:i/>
          <w:iCs/>
          <w:sz w:val="24"/>
        </w:rPr>
        <w:t xml:space="preserve"> </w:t>
      </w:r>
    </w:p>
    <w:p>
      <w:pPr>
        <w:spacing w:line="140" w:lineRule="atLeast"/>
        <w:rPr>
          <w:rFonts w:asciiTheme="minorEastAsia" w:hAnsiTheme="minorEastAsia"/>
          <w:sz w:val="24"/>
        </w:rPr>
      </w:pPr>
      <w:r>
        <w:rPr>
          <w:rFonts w:asciiTheme="minorEastAsia" w:hAnsiTheme="minorEastAsia"/>
          <w:sz w:val="24"/>
        </w:rPr>
        <w:t xml:space="preserve">No. </w:t>
      </w:r>
      <w:r>
        <w:rPr>
          <w:rFonts w:hint="eastAsia" w:asciiTheme="minorEastAsia" w:hAnsiTheme="minorEastAsia"/>
          <w:sz w:val="24"/>
        </w:rPr>
        <w:t>81</w:t>
      </w:r>
      <w:r>
        <w:rPr>
          <w:rFonts w:asciiTheme="minorEastAsia" w:hAnsiTheme="minorEastAsia"/>
          <w:sz w:val="24"/>
        </w:rPr>
        <w:t xml:space="preserve"> [201</w:t>
      </w:r>
      <w:r>
        <w:rPr>
          <w:rFonts w:hint="eastAsia" w:asciiTheme="minorEastAsia" w:hAnsiTheme="minorEastAsia"/>
          <w:sz w:val="24"/>
        </w:rPr>
        <w:t>9</w:t>
      </w:r>
      <w:r>
        <w:rPr>
          <w:rFonts w:asciiTheme="minorEastAsia" w:hAnsiTheme="minorEastAsia"/>
          <w:sz w:val="24"/>
        </w:rPr>
        <w:t>] of the General Office of the Chongqing Municipal People’s Government</w:t>
      </w:r>
    </w:p>
    <w:p>
      <w:pPr>
        <w:spacing w:line="140" w:lineRule="atLeast"/>
        <w:rPr>
          <w:rFonts w:asciiTheme="minorEastAsia" w:hAnsiTheme="minorEastAsia"/>
          <w:sz w:val="24"/>
        </w:rPr>
      </w:pPr>
    </w:p>
    <w:p>
      <w:pPr>
        <w:spacing w:line="140" w:lineRule="atLeast"/>
        <w:rPr>
          <w:rFonts w:asciiTheme="minorEastAsia" w:hAnsiTheme="minorEastAsia"/>
          <w:sz w:val="24"/>
        </w:rPr>
      </w:pPr>
      <w:r>
        <w:rPr>
          <w:rFonts w:hint="eastAsia" w:asciiTheme="minorEastAsia" w:hAnsiTheme="minorEastAsia"/>
          <w:sz w:val="24"/>
        </w:rPr>
        <w:t>《关于引导小额贷款公司降低贷款利率的通知》（渝金发〔2019〕2号）</w:t>
      </w:r>
    </w:p>
    <w:p>
      <w:pPr>
        <w:spacing w:line="140" w:lineRule="atLeast"/>
        <w:rPr>
          <w:rFonts w:asciiTheme="minorEastAsia" w:hAnsiTheme="minorEastAsia"/>
          <w:i/>
          <w:iCs/>
          <w:sz w:val="24"/>
        </w:rPr>
      </w:pPr>
      <w:r>
        <w:rPr>
          <w:rFonts w:hint="eastAsia" w:asciiTheme="minorEastAsia" w:hAnsiTheme="minorEastAsia"/>
          <w:i/>
          <w:iCs/>
          <w:sz w:val="24"/>
        </w:rPr>
        <w:t xml:space="preserve">Notice of Guiding </w:t>
      </w:r>
      <w:r>
        <w:rPr>
          <w:rFonts w:asciiTheme="minorEastAsia" w:hAnsiTheme="minorEastAsia"/>
          <w:i/>
          <w:iCs/>
          <w:sz w:val="24"/>
        </w:rPr>
        <w:t>M</w:t>
      </w:r>
      <w:r>
        <w:rPr>
          <w:rFonts w:hint="eastAsia" w:asciiTheme="minorEastAsia" w:hAnsiTheme="minorEastAsia"/>
          <w:i/>
          <w:iCs/>
          <w:sz w:val="24"/>
        </w:rPr>
        <w:t>icrofinance</w:t>
      </w:r>
      <w:r>
        <w:rPr>
          <w:rFonts w:asciiTheme="minorEastAsia" w:hAnsiTheme="minorEastAsia"/>
          <w:i/>
          <w:iCs/>
          <w:sz w:val="24"/>
        </w:rPr>
        <w:t xml:space="preserve"> Companies</w:t>
      </w:r>
      <w:r>
        <w:rPr>
          <w:rFonts w:hint="eastAsia" w:asciiTheme="minorEastAsia" w:hAnsiTheme="minorEastAsia"/>
          <w:i/>
          <w:iCs/>
          <w:sz w:val="24"/>
        </w:rPr>
        <w:t xml:space="preserve"> to </w:t>
      </w:r>
      <w:r>
        <w:rPr>
          <w:rFonts w:asciiTheme="minorEastAsia" w:hAnsiTheme="minorEastAsia"/>
          <w:i/>
          <w:iCs/>
          <w:sz w:val="24"/>
        </w:rPr>
        <w:t>Reduce</w:t>
      </w:r>
      <w:r>
        <w:rPr>
          <w:rFonts w:hint="eastAsia" w:asciiTheme="minorEastAsia" w:hAnsiTheme="minorEastAsia"/>
          <w:i/>
          <w:iCs/>
          <w:sz w:val="24"/>
        </w:rPr>
        <w:t xml:space="preserve"> Loan </w:t>
      </w:r>
      <w:r>
        <w:rPr>
          <w:rFonts w:asciiTheme="minorEastAsia" w:hAnsiTheme="minorEastAsia"/>
          <w:i/>
          <w:iCs/>
          <w:sz w:val="24"/>
        </w:rPr>
        <w:t>I</w:t>
      </w:r>
      <w:r>
        <w:rPr>
          <w:rFonts w:hint="eastAsia" w:asciiTheme="minorEastAsia" w:hAnsiTheme="minorEastAsia"/>
          <w:i/>
          <w:iCs/>
          <w:sz w:val="24"/>
        </w:rPr>
        <w:t>nterest</w:t>
      </w:r>
      <w:r>
        <w:rPr>
          <w:rFonts w:asciiTheme="minorEastAsia" w:hAnsiTheme="minorEastAsia"/>
          <w:i/>
          <w:iCs/>
          <w:sz w:val="24"/>
        </w:rPr>
        <w:t xml:space="preserve"> </w:t>
      </w:r>
      <w:r>
        <w:rPr>
          <w:rFonts w:hint="eastAsia" w:asciiTheme="minorEastAsia" w:hAnsiTheme="minorEastAsia"/>
          <w:i/>
          <w:iCs/>
          <w:sz w:val="24"/>
        </w:rPr>
        <w:t xml:space="preserve">Rates </w:t>
      </w:r>
    </w:p>
    <w:p>
      <w:pPr>
        <w:adjustRightInd w:val="0"/>
        <w:spacing w:line="140" w:lineRule="atLeast"/>
        <w:jc w:val="center"/>
        <w:rPr>
          <w:rFonts w:asciiTheme="minorEastAsia" w:hAnsiTheme="minorEastAsia"/>
          <w:sz w:val="24"/>
        </w:rPr>
      </w:pPr>
      <w:r>
        <w:rPr>
          <w:rFonts w:hint="eastAsia" w:asciiTheme="minorEastAsia" w:hAnsiTheme="minorEastAsia"/>
          <w:sz w:val="24"/>
        </w:rPr>
        <w:t>No.2</w:t>
      </w:r>
      <w:r>
        <w:rPr>
          <w:rFonts w:asciiTheme="minorEastAsia" w:hAnsiTheme="minorEastAsia"/>
          <w:sz w:val="24"/>
        </w:rPr>
        <w:t xml:space="preserve"> </w:t>
      </w:r>
      <w:r>
        <w:rPr>
          <w:rFonts w:hint="eastAsia" w:asciiTheme="minorEastAsia" w:hAnsiTheme="minorEastAsia"/>
          <w:sz w:val="24"/>
        </w:rPr>
        <w:t xml:space="preserve">[2019] of </w:t>
      </w:r>
      <w:r>
        <w:rPr>
          <w:rFonts w:asciiTheme="minorEastAsia" w:hAnsiTheme="minorEastAsia"/>
          <w:sz w:val="24"/>
        </w:rPr>
        <w:t>the Finance Administrative Office of Chongqing M</w:t>
      </w:r>
      <w:r>
        <w:rPr>
          <w:rFonts w:hint="eastAsia" w:asciiTheme="minorEastAsia" w:hAnsiTheme="minorEastAsia"/>
          <w:sz w:val="24"/>
        </w:rPr>
        <w:t>unicipality</w:t>
      </w:r>
    </w:p>
    <w:p>
      <w:pPr>
        <w:spacing w:line="140" w:lineRule="atLeast"/>
        <w:rPr>
          <w:rFonts w:asciiTheme="minorEastAsia" w:hAnsiTheme="minorEastAsia"/>
          <w:sz w:val="24"/>
        </w:rPr>
      </w:pPr>
    </w:p>
    <w:p>
      <w:pPr>
        <w:spacing w:line="140" w:lineRule="atLeast"/>
        <w:rPr>
          <w:rFonts w:asciiTheme="minorEastAsia" w:hAnsiTheme="minorEastAsia"/>
          <w:sz w:val="24"/>
        </w:rPr>
      </w:pPr>
      <w:r>
        <w:rPr>
          <w:rFonts w:hint="eastAsia" w:asciiTheme="minorEastAsia" w:hAnsiTheme="minorEastAsia"/>
          <w:sz w:val="24"/>
        </w:rPr>
        <w:t>《关于进一步优化金融信贷营商环境的意见》（渝金发〔2019〕3号）</w:t>
      </w:r>
    </w:p>
    <w:p>
      <w:pPr>
        <w:spacing w:line="140" w:lineRule="atLeast"/>
        <w:rPr>
          <w:rFonts w:asciiTheme="minorEastAsia" w:hAnsiTheme="minorEastAsia"/>
          <w:i/>
          <w:iCs/>
          <w:sz w:val="24"/>
        </w:rPr>
      </w:pPr>
      <w:r>
        <w:rPr>
          <w:rFonts w:asciiTheme="minorEastAsia" w:hAnsiTheme="minorEastAsia"/>
          <w:i/>
          <w:iCs/>
          <w:sz w:val="24"/>
        </w:rPr>
        <w:t>Guidelines for Further Optimizing the Business Financial Credit Environment</w:t>
      </w:r>
    </w:p>
    <w:p>
      <w:pPr>
        <w:adjustRightInd w:val="0"/>
        <w:spacing w:line="140" w:lineRule="atLeast"/>
        <w:rPr>
          <w:rFonts w:asciiTheme="minorEastAsia" w:hAnsiTheme="minorEastAsia"/>
          <w:sz w:val="24"/>
        </w:rPr>
      </w:pPr>
      <w:r>
        <w:rPr>
          <w:rFonts w:asciiTheme="minorEastAsia" w:hAnsiTheme="minorEastAsia"/>
          <w:sz w:val="24"/>
        </w:rPr>
        <w:t>No.</w:t>
      </w:r>
      <w:r>
        <w:rPr>
          <w:rFonts w:hint="eastAsia" w:asciiTheme="minorEastAsia" w:hAnsiTheme="minorEastAsia"/>
          <w:sz w:val="24"/>
        </w:rPr>
        <w:t>3</w:t>
      </w:r>
      <w:r>
        <w:rPr>
          <w:rFonts w:asciiTheme="minorEastAsia" w:hAnsiTheme="minorEastAsia"/>
          <w:sz w:val="24"/>
        </w:rPr>
        <w:t xml:space="preserve"> [2019] of the Finance Administrative Office of Chongqing M</w:t>
      </w:r>
      <w:r>
        <w:rPr>
          <w:rFonts w:hint="eastAsia" w:asciiTheme="minorEastAsia" w:hAnsiTheme="minorEastAsia"/>
          <w:sz w:val="24"/>
        </w:rPr>
        <w:t>unicipality</w:t>
      </w:r>
    </w:p>
    <w:p>
      <w:pPr>
        <w:spacing w:line="140" w:lineRule="atLeast"/>
        <w:rPr>
          <w:rFonts w:asciiTheme="minorEastAsia" w:hAnsiTheme="minorEastAsia"/>
          <w:sz w:val="24"/>
        </w:rPr>
      </w:pPr>
    </w:p>
    <w:p>
      <w:pPr>
        <w:spacing w:line="140" w:lineRule="atLeast"/>
        <w:ind w:firstLine="2801" w:firstLineChars="700"/>
        <w:rPr>
          <w:rFonts w:asciiTheme="minorEastAsia" w:hAnsiTheme="minorEastAsia"/>
          <w:b/>
          <w:bCs/>
          <w:color w:val="FFFFFF" w:themeColor="background1"/>
          <w:sz w:val="40"/>
          <w:szCs w:val="40"/>
          <w14:textFill>
            <w14:solidFill>
              <w14:schemeClr w14:val="bg1"/>
            </w14:solidFill>
          </w14:textFill>
        </w:rPr>
      </w:pPr>
      <w:r>
        <w:rPr>
          <w:rFonts w:hint="eastAsia" w:asciiTheme="minorEastAsia" w:hAnsiTheme="minorEastAsia"/>
          <w:b/>
          <w:bCs/>
          <w:color w:val="FFFFFF" w:themeColor="background1"/>
          <w:sz w:val="40"/>
          <w:szCs w:val="40"/>
          <w:highlight w:val="blue"/>
          <w14:textFill>
            <w14:solidFill>
              <w14:schemeClr w14:val="bg1"/>
            </w14:solidFill>
          </w14:textFill>
        </w:rPr>
        <w:t>金融信贷概况</w:t>
      </w:r>
    </w:p>
    <w:p>
      <w:pPr>
        <w:spacing w:line="140" w:lineRule="atLeast"/>
        <w:jc w:val="center"/>
        <w:rPr>
          <w:rFonts w:asciiTheme="minorEastAsia" w:hAnsiTheme="minorEastAsia"/>
          <w:sz w:val="24"/>
        </w:rPr>
      </w:pPr>
      <w:r>
        <w:rPr>
          <w:rFonts w:hint="eastAsia" w:asciiTheme="minorEastAsia" w:hAnsiTheme="minorEastAsia"/>
          <w:sz w:val="24"/>
        </w:rPr>
        <w:t xml:space="preserve">Financial </w:t>
      </w:r>
      <w:r>
        <w:rPr>
          <w:rFonts w:asciiTheme="minorEastAsia" w:hAnsiTheme="minorEastAsia"/>
          <w:sz w:val="24"/>
        </w:rPr>
        <w:t>C</w:t>
      </w:r>
      <w:r>
        <w:rPr>
          <w:rFonts w:hint="eastAsia" w:asciiTheme="minorEastAsia" w:hAnsiTheme="minorEastAsia"/>
          <w:sz w:val="24"/>
        </w:rPr>
        <w:t xml:space="preserve">redit </w:t>
      </w:r>
      <w:r>
        <w:rPr>
          <w:rFonts w:asciiTheme="minorEastAsia" w:hAnsiTheme="minorEastAsia"/>
          <w:sz w:val="24"/>
        </w:rPr>
        <w:t>P</w:t>
      </w:r>
      <w:r>
        <w:rPr>
          <w:rFonts w:hint="eastAsia" w:asciiTheme="minorEastAsia" w:hAnsiTheme="minorEastAsia"/>
          <w:sz w:val="24"/>
        </w:rPr>
        <w:t xml:space="preserve">rofile </w:t>
      </w:r>
    </w:p>
    <w:p>
      <w:pPr>
        <w:spacing w:line="140" w:lineRule="atLeast"/>
        <w:ind w:firstLine="480" w:firstLineChars="200"/>
        <w:rPr>
          <w:rFonts w:asciiTheme="minorEastAsia" w:hAnsiTheme="minorEastAsia"/>
          <w:sz w:val="24"/>
        </w:rPr>
      </w:pPr>
      <w:r>
        <w:rPr>
          <w:rFonts w:hint="eastAsia" w:asciiTheme="minorEastAsia" w:hAnsiTheme="minorEastAsia"/>
          <w:sz w:val="24"/>
        </w:rPr>
        <w:t>重庆市金融实力持续提升。2019年金融业增加值突破2088亿元、增长8%、占GDP比重8.8%。金融行业资产规模突破6万亿元，增长 9%左右，行业支柱地位进一步巩固。银行贷款余额3.69万亿元、增长 15.1 %。社会融资规模增量5100亿元，增长10.5%左右。小微企业贷款余额2452亿元、较年初增长24%,增速高于全部贷款9.5个百分点。</w:t>
      </w:r>
    </w:p>
    <w:p>
      <w:pPr>
        <w:spacing w:line="140" w:lineRule="atLeast"/>
        <w:ind w:firstLine="480" w:firstLineChars="200"/>
        <w:rPr>
          <w:rFonts w:asciiTheme="minorEastAsia" w:hAnsiTheme="minorEastAsia"/>
          <w:sz w:val="24"/>
        </w:rPr>
      </w:pPr>
      <w:r>
        <w:rPr>
          <w:rFonts w:asciiTheme="minorEastAsia" w:hAnsiTheme="minorEastAsia"/>
          <w:sz w:val="24"/>
        </w:rPr>
        <w:t xml:space="preserve">The </w:t>
      </w:r>
      <w:r>
        <w:rPr>
          <w:rFonts w:hint="eastAsia" w:asciiTheme="minorEastAsia" w:hAnsiTheme="minorEastAsia"/>
          <w:sz w:val="24"/>
        </w:rPr>
        <w:t>financial strength</w:t>
      </w:r>
      <w:r>
        <w:rPr>
          <w:rFonts w:asciiTheme="minorEastAsia" w:hAnsiTheme="minorEastAsia"/>
          <w:sz w:val="24"/>
        </w:rPr>
        <w:t xml:space="preserve"> of Chongqing municipality</w:t>
      </w:r>
      <w:r>
        <w:rPr>
          <w:rFonts w:hint="eastAsia" w:asciiTheme="minorEastAsia" w:hAnsiTheme="minorEastAsia"/>
          <w:sz w:val="24"/>
        </w:rPr>
        <w:t xml:space="preserve"> continues to improve. In 2019, the added value of the financial industry exceeded 208.8 billion yuan,</w:t>
      </w:r>
      <w:r>
        <w:rPr>
          <w:rFonts w:asciiTheme="minorEastAsia" w:hAnsiTheme="minorEastAsia"/>
          <w:sz w:val="24"/>
        </w:rPr>
        <w:t xml:space="preserve"> </w:t>
      </w:r>
      <w:r>
        <w:rPr>
          <w:rFonts w:hint="eastAsia" w:asciiTheme="minorEastAsia" w:hAnsiTheme="minorEastAsia"/>
          <w:sz w:val="24"/>
        </w:rPr>
        <w:t>increasing by 8%</w:t>
      </w:r>
      <w:r>
        <w:rPr>
          <w:rFonts w:asciiTheme="minorEastAsia" w:hAnsiTheme="minorEastAsia"/>
          <w:sz w:val="24"/>
        </w:rPr>
        <w:t xml:space="preserve">, </w:t>
      </w:r>
      <w:r>
        <w:rPr>
          <w:rFonts w:hint="eastAsia" w:asciiTheme="minorEastAsia" w:hAnsiTheme="minorEastAsia"/>
          <w:sz w:val="24"/>
        </w:rPr>
        <w:t>and accounting for 8.8% of GDP.</w:t>
      </w:r>
      <w:r>
        <w:rPr>
          <w:rFonts w:asciiTheme="minorEastAsia" w:hAnsiTheme="minorEastAsia"/>
          <w:sz w:val="24"/>
        </w:rPr>
        <w:t xml:space="preserve"> The asset size of the f</w:t>
      </w:r>
      <w:r>
        <w:rPr>
          <w:rFonts w:hint="eastAsia" w:asciiTheme="minorEastAsia" w:hAnsiTheme="minorEastAsia"/>
          <w:sz w:val="24"/>
        </w:rPr>
        <w:t>inancial industry exceeded 6 trillion yuan,</w:t>
      </w:r>
      <w:r>
        <w:rPr>
          <w:rFonts w:asciiTheme="minorEastAsia" w:hAnsiTheme="minorEastAsia"/>
          <w:sz w:val="24"/>
        </w:rPr>
        <w:t xml:space="preserve"> </w:t>
      </w:r>
      <w:r>
        <w:rPr>
          <w:rFonts w:hint="eastAsia" w:asciiTheme="minorEastAsia" w:hAnsiTheme="minorEastAsia"/>
          <w:sz w:val="24"/>
        </w:rPr>
        <w:t>increasing by about 9%,</w:t>
      </w:r>
      <w:r>
        <w:rPr>
          <w:rFonts w:asciiTheme="minorEastAsia" w:hAnsiTheme="minorEastAsia"/>
          <w:sz w:val="24"/>
        </w:rPr>
        <w:t xml:space="preserve"> </w:t>
      </w:r>
      <w:r>
        <w:rPr>
          <w:rFonts w:hint="eastAsia" w:asciiTheme="minorEastAsia" w:hAnsiTheme="minorEastAsia"/>
          <w:sz w:val="24"/>
        </w:rPr>
        <w:t xml:space="preserve">further consolidating its </w:t>
      </w:r>
      <w:r>
        <w:rPr>
          <w:rFonts w:asciiTheme="minorEastAsia" w:hAnsiTheme="minorEastAsia"/>
          <w:sz w:val="24"/>
        </w:rPr>
        <w:t xml:space="preserve">pillar </w:t>
      </w:r>
      <w:r>
        <w:rPr>
          <w:rFonts w:hint="eastAsia" w:asciiTheme="minorEastAsia" w:hAnsiTheme="minorEastAsia"/>
          <w:sz w:val="24"/>
        </w:rPr>
        <w:t xml:space="preserve">status </w:t>
      </w:r>
      <w:r>
        <w:rPr>
          <w:rFonts w:asciiTheme="minorEastAsia" w:hAnsiTheme="minorEastAsia"/>
          <w:sz w:val="24"/>
        </w:rPr>
        <w:t>in</w:t>
      </w:r>
      <w:r>
        <w:rPr>
          <w:rFonts w:hint="eastAsia" w:asciiTheme="minorEastAsia" w:hAnsiTheme="minorEastAsia"/>
          <w:sz w:val="24"/>
        </w:rPr>
        <w:t xml:space="preserve"> the industry. The </w:t>
      </w:r>
      <w:r>
        <w:rPr>
          <w:rFonts w:asciiTheme="minorEastAsia" w:hAnsiTheme="minorEastAsia"/>
          <w:sz w:val="24"/>
        </w:rPr>
        <w:t xml:space="preserve">loan </w:t>
      </w:r>
      <w:r>
        <w:rPr>
          <w:rFonts w:hint="eastAsia" w:asciiTheme="minorEastAsia" w:hAnsiTheme="minorEastAsia"/>
          <w:sz w:val="24"/>
        </w:rPr>
        <w:t>balance of bank</w:t>
      </w:r>
      <w:r>
        <w:rPr>
          <w:rFonts w:asciiTheme="minorEastAsia" w:hAnsiTheme="minorEastAsia"/>
          <w:sz w:val="24"/>
        </w:rPr>
        <w:t>s</w:t>
      </w:r>
      <w:r>
        <w:rPr>
          <w:rFonts w:hint="eastAsia" w:asciiTheme="minorEastAsia" w:hAnsiTheme="minorEastAsia"/>
          <w:sz w:val="24"/>
        </w:rPr>
        <w:t xml:space="preserve"> was 3.69 trillion yuan, increas</w:t>
      </w:r>
      <w:r>
        <w:rPr>
          <w:rFonts w:asciiTheme="minorEastAsia" w:hAnsiTheme="minorEastAsia"/>
          <w:sz w:val="24"/>
        </w:rPr>
        <w:t>ing</w:t>
      </w:r>
      <w:r>
        <w:rPr>
          <w:rFonts w:hint="eastAsia" w:asciiTheme="minorEastAsia" w:hAnsiTheme="minorEastAsia"/>
          <w:sz w:val="24"/>
        </w:rPr>
        <w:t xml:space="preserve"> by 15.1%. The scale </w:t>
      </w:r>
      <w:r>
        <w:rPr>
          <w:rFonts w:asciiTheme="minorEastAsia" w:hAnsiTheme="minorEastAsia"/>
          <w:sz w:val="24"/>
        </w:rPr>
        <w:t xml:space="preserve">increment </w:t>
      </w:r>
      <w:r>
        <w:rPr>
          <w:rFonts w:hint="eastAsia" w:asciiTheme="minorEastAsia" w:hAnsiTheme="minorEastAsia"/>
          <w:sz w:val="24"/>
        </w:rPr>
        <w:t xml:space="preserve">of social financing </w:t>
      </w:r>
      <w:r>
        <w:rPr>
          <w:rFonts w:asciiTheme="minorEastAsia" w:hAnsiTheme="minorEastAsia"/>
          <w:sz w:val="24"/>
        </w:rPr>
        <w:t>reached</w:t>
      </w:r>
      <w:r>
        <w:rPr>
          <w:rFonts w:hint="eastAsia" w:asciiTheme="minorEastAsia" w:hAnsiTheme="minorEastAsia"/>
          <w:sz w:val="24"/>
        </w:rPr>
        <w:t xml:space="preserve"> 510 billion yuan, </w:t>
      </w:r>
      <w:r>
        <w:rPr>
          <w:rFonts w:asciiTheme="minorEastAsia" w:hAnsiTheme="minorEastAsia"/>
          <w:sz w:val="24"/>
        </w:rPr>
        <w:t>boosting</w:t>
      </w:r>
      <w:r>
        <w:rPr>
          <w:rFonts w:hint="eastAsia" w:asciiTheme="minorEastAsia" w:hAnsiTheme="minorEastAsia"/>
          <w:sz w:val="24"/>
        </w:rPr>
        <w:t xml:space="preserve"> by about 10.5%. The </w:t>
      </w:r>
      <w:r>
        <w:rPr>
          <w:rFonts w:asciiTheme="minorEastAsia" w:hAnsiTheme="minorEastAsia"/>
          <w:sz w:val="24"/>
        </w:rPr>
        <w:t xml:space="preserve">loan </w:t>
      </w:r>
      <w:r>
        <w:rPr>
          <w:rFonts w:hint="eastAsia" w:asciiTheme="minorEastAsia" w:hAnsiTheme="minorEastAsia"/>
          <w:sz w:val="24"/>
        </w:rPr>
        <w:t xml:space="preserve">balance of </w:t>
      </w:r>
      <w:r>
        <w:rPr>
          <w:rFonts w:asciiTheme="minorEastAsia" w:hAnsiTheme="minorEastAsia"/>
          <w:sz w:val="24"/>
        </w:rPr>
        <w:t>micro&amp;small</w:t>
      </w:r>
      <w:r>
        <w:rPr>
          <w:rFonts w:hint="eastAsia" w:asciiTheme="minorEastAsia" w:hAnsiTheme="minorEastAsia"/>
          <w:sz w:val="24"/>
        </w:rPr>
        <w:t xml:space="preserve"> enterprises was 24.52 billion yuan,</w:t>
      </w:r>
      <w:r>
        <w:rPr>
          <w:rFonts w:asciiTheme="minorEastAsia" w:hAnsiTheme="minorEastAsia"/>
          <w:sz w:val="24"/>
        </w:rPr>
        <w:t xml:space="preserve"> </w:t>
      </w:r>
      <w:r>
        <w:rPr>
          <w:rFonts w:hint="eastAsia" w:asciiTheme="minorEastAsia" w:hAnsiTheme="minorEastAsia"/>
          <w:sz w:val="24"/>
        </w:rPr>
        <w:t xml:space="preserve">increasing by 24% </w:t>
      </w:r>
      <w:r>
        <w:rPr>
          <w:rFonts w:asciiTheme="minorEastAsia" w:hAnsiTheme="minorEastAsia"/>
          <w:sz w:val="24"/>
        </w:rPr>
        <w:t>since</w:t>
      </w:r>
      <w:r>
        <w:rPr>
          <w:rFonts w:hint="eastAsia" w:asciiTheme="minorEastAsia" w:hAnsiTheme="minorEastAsia"/>
          <w:sz w:val="24"/>
        </w:rPr>
        <w:t xml:space="preserve"> the beginning of the year, and </w:t>
      </w:r>
      <w:r>
        <w:rPr>
          <w:rFonts w:asciiTheme="minorEastAsia" w:hAnsiTheme="minorEastAsia"/>
          <w:sz w:val="24"/>
        </w:rPr>
        <w:t>its</w:t>
      </w:r>
      <w:r>
        <w:rPr>
          <w:rFonts w:hint="eastAsia" w:asciiTheme="minorEastAsia" w:hAnsiTheme="minorEastAsia"/>
          <w:sz w:val="24"/>
        </w:rPr>
        <w:t xml:space="preserve"> growth </w:t>
      </w:r>
      <w:r>
        <w:rPr>
          <w:rFonts w:asciiTheme="minorEastAsia" w:hAnsiTheme="minorEastAsia"/>
          <w:sz w:val="24"/>
        </w:rPr>
        <w:t xml:space="preserve">rate </w:t>
      </w:r>
      <w:r>
        <w:rPr>
          <w:rFonts w:hint="eastAsia" w:asciiTheme="minorEastAsia" w:hAnsiTheme="minorEastAsia"/>
          <w:sz w:val="24"/>
        </w:rPr>
        <w:t>was 9.5% higher than</w:t>
      </w:r>
      <w:r>
        <w:rPr>
          <w:rFonts w:asciiTheme="minorEastAsia" w:hAnsiTheme="minorEastAsia"/>
          <w:sz w:val="24"/>
        </w:rPr>
        <w:t xml:space="preserve"> other </w:t>
      </w:r>
      <w:r>
        <w:rPr>
          <w:rFonts w:hint="eastAsia" w:asciiTheme="minorEastAsia" w:hAnsiTheme="minorEastAsia"/>
          <w:sz w:val="24"/>
        </w:rPr>
        <w:t xml:space="preserve">loans. </w:t>
      </w:r>
    </w:p>
    <w:p>
      <w:pPr>
        <w:spacing w:line="140" w:lineRule="atLeast"/>
        <w:rPr>
          <w:rFonts w:asciiTheme="minorEastAsia" w:hAnsiTheme="minorEastAsia"/>
          <w:sz w:val="24"/>
        </w:rPr>
      </w:pPr>
    </w:p>
    <w:p>
      <w:pPr>
        <w:spacing w:line="140" w:lineRule="atLeast"/>
        <w:rPr>
          <w:rFonts w:asciiTheme="minorEastAsia" w:hAnsiTheme="minorEastAsia"/>
          <w:sz w:val="24"/>
        </w:rPr>
      </w:pPr>
    </w:p>
    <w:p>
      <w:pPr>
        <w:spacing w:line="140" w:lineRule="atLeast"/>
        <w:ind w:firstLine="2801" w:firstLineChars="700"/>
        <w:rPr>
          <w:rFonts w:asciiTheme="minorEastAsia" w:hAnsiTheme="minorEastAsia"/>
          <w:b/>
          <w:bCs/>
          <w:color w:val="FFFFFF" w:themeColor="background1"/>
          <w:sz w:val="40"/>
          <w:szCs w:val="40"/>
          <w:highlight w:val="blue"/>
          <w14:textFill>
            <w14:solidFill>
              <w14:schemeClr w14:val="bg1"/>
            </w14:solidFill>
          </w14:textFill>
        </w:rPr>
      </w:pPr>
      <w:r>
        <w:rPr>
          <w:rFonts w:hint="eastAsia" w:asciiTheme="minorEastAsia" w:hAnsiTheme="minorEastAsia"/>
          <w:b/>
          <w:bCs/>
          <w:color w:val="FFFFFF" w:themeColor="background1"/>
          <w:sz w:val="40"/>
          <w:szCs w:val="40"/>
          <w:highlight w:val="blue"/>
          <w14:textFill>
            <w14:solidFill>
              <w14:schemeClr w14:val="bg1"/>
            </w14:solidFill>
          </w14:textFill>
        </w:rPr>
        <w:t>金融改革举措</w:t>
      </w:r>
    </w:p>
    <w:p>
      <w:pPr>
        <w:spacing w:line="140" w:lineRule="atLeast"/>
        <w:jc w:val="center"/>
        <w:rPr>
          <w:rFonts w:asciiTheme="minorEastAsia" w:hAnsiTheme="minorEastAsia"/>
          <w:sz w:val="24"/>
        </w:rPr>
      </w:pPr>
      <w:r>
        <w:rPr>
          <w:rFonts w:asciiTheme="minorEastAsia" w:hAnsiTheme="minorEastAsia"/>
          <w:sz w:val="24"/>
        </w:rPr>
        <w:t>T</w:t>
      </w:r>
      <w:r>
        <w:rPr>
          <w:rFonts w:hint="eastAsia" w:asciiTheme="minorEastAsia" w:hAnsiTheme="minorEastAsia"/>
          <w:sz w:val="24"/>
        </w:rPr>
        <w:t>he</w:t>
      </w:r>
      <w:r>
        <w:rPr>
          <w:rFonts w:asciiTheme="minorEastAsia" w:hAnsiTheme="minorEastAsia"/>
          <w:sz w:val="24"/>
        </w:rPr>
        <w:t xml:space="preserve"> M</w:t>
      </w:r>
      <w:r>
        <w:rPr>
          <w:rFonts w:hint="eastAsia" w:asciiTheme="minorEastAsia" w:hAnsiTheme="minorEastAsia"/>
          <w:sz w:val="24"/>
        </w:rPr>
        <w:t>easures of</w:t>
      </w:r>
      <w:r>
        <w:rPr>
          <w:rFonts w:asciiTheme="minorEastAsia" w:hAnsiTheme="minorEastAsia"/>
          <w:sz w:val="24"/>
        </w:rPr>
        <w:t xml:space="preserve"> F</w:t>
      </w:r>
      <w:r>
        <w:rPr>
          <w:rFonts w:hint="eastAsia" w:asciiTheme="minorEastAsia" w:hAnsiTheme="minorEastAsia"/>
          <w:sz w:val="24"/>
        </w:rPr>
        <w:t>inancial</w:t>
      </w:r>
      <w:r>
        <w:rPr>
          <w:rFonts w:asciiTheme="minorEastAsia" w:hAnsiTheme="minorEastAsia"/>
          <w:sz w:val="24"/>
        </w:rPr>
        <w:t xml:space="preserve"> </w:t>
      </w:r>
      <w:r>
        <w:rPr>
          <w:rFonts w:hint="eastAsia" w:asciiTheme="minorEastAsia" w:hAnsiTheme="minorEastAsia"/>
          <w:sz w:val="24"/>
        </w:rPr>
        <w:t xml:space="preserve">Reform </w:t>
      </w:r>
    </w:p>
    <w:p>
      <w:pPr>
        <w:spacing w:line="140" w:lineRule="atLeast"/>
        <w:ind w:firstLine="640" w:firstLineChars="200"/>
        <w:rPr>
          <w:rFonts w:asciiTheme="minorEastAsia" w:hAnsiTheme="minorEastAsia"/>
          <w:color w:val="FFFFFF" w:themeColor="background1"/>
          <w:sz w:val="32"/>
          <w:szCs w:val="32"/>
          <w:highlight w:val="blue"/>
          <w14:textFill>
            <w14:solidFill>
              <w14:schemeClr w14:val="bg1"/>
            </w14:solidFill>
          </w14:textFill>
        </w:rPr>
      </w:pPr>
      <w:r>
        <w:rPr>
          <w:rFonts w:hint="eastAsia" w:asciiTheme="minorEastAsia" w:hAnsiTheme="minorEastAsia"/>
          <w:color w:val="FFFFFF" w:themeColor="background1"/>
          <w:sz w:val="32"/>
          <w:szCs w:val="32"/>
          <w:highlight w:val="blue"/>
          <w14:textFill>
            <w14:solidFill>
              <w14:schemeClr w14:val="bg1"/>
            </w14:solidFill>
          </w14:textFill>
        </w:rPr>
        <w:t>一、降低信贷成本</w:t>
      </w:r>
    </w:p>
    <w:p>
      <w:pPr>
        <w:spacing w:line="140" w:lineRule="atLeast"/>
        <w:ind w:firstLine="480" w:firstLineChars="200"/>
        <w:rPr>
          <w:rFonts w:asciiTheme="minorEastAsia" w:hAnsiTheme="minorEastAsia"/>
          <w:sz w:val="24"/>
        </w:rPr>
      </w:pPr>
      <w:r>
        <w:rPr>
          <w:rFonts w:hint="eastAsia" w:asciiTheme="minorEastAsia" w:hAnsiTheme="minorEastAsia"/>
          <w:sz w:val="24"/>
        </w:rPr>
        <w:t>Ⅰ.</w:t>
      </w:r>
      <w:r>
        <w:rPr>
          <w:rFonts w:asciiTheme="minorEastAsia" w:hAnsiTheme="minorEastAsia"/>
          <w:sz w:val="24"/>
        </w:rPr>
        <w:t>To r</w:t>
      </w:r>
      <w:r>
        <w:rPr>
          <w:rFonts w:hint="eastAsia" w:asciiTheme="minorEastAsia" w:hAnsiTheme="minorEastAsia"/>
          <w:sz w:val="24"/>
        </w:rPr>
        <w:t>edu</w:t>
      </w:r>
      <w:r>
        <w:rPr>
          <w:rFonts w:asciiTheme="minorEastAsia" w:hAnsiTheme="minorEastAsia"/>
          <w:sz w:val="24"/>
        </w:rPr>
        <w:t>ce</w:t>
      </w:r>
      <w:r>
        <w:rPr>
          <w:rFonts w:hint="eastAsia" w:asciiTheme="minorEastAsia" w:hAnsiTheme="minorEastAsia"/>
          <w:sz w:val="24"/>
        </w:rPr>
        <w:t xml:space="preserve"> the credit</w:t>
      </w:r>
      <w:r>
        <w:rPr>
          <w:rFonts w:asciiTheme="minorEastAsia" w:hAnsiTheme="minorEastAsia"/>
          <w:sz w:val="24"/>
        </w:rPr>
        <w:t xml:space="preserve"> </w:t>
      </w:r>
      <w:r>
        <w:rPr>
          <w:rFonts w:hint="eastAsia" w:asciiTheme="minorEastAsia" w:hAnsiTheme="minorEastAsia"/>
          <w:sz w:val="24"/>
        </w:rPr>
        <w:t xml:space="preserve">cost </w:t>
      </w:r>
    </w:p>
    <w:p>
      <w:pPr>
        <w:spacing w:line="140" w:lineRule="atLeast"/>
        <w:ind w:firstLine="480" w:firstLineChars="200"/>
        <w:rPr>
          <w:rFonts w:asciiTheme="minorEastAsia" w:hAnsiTheme="minorEastAsia"/>
          <w:sz w:val="24"/>
        </w:rPr>
      </w:pPr>
      <w:r>
        <w:rPr>
          <w:rFonts w:hint="eastAsia" w:asciiTheme="minorEastAsia" w:hAnsiTheme="minorEastAsia"/>
          <w:sz w:val="24"/>
        </w:rPr>
        <w:t>开展银行违规收费专项治理。引导银行建立差异化小微企业贷款利率定价机制。缩短融资链条，清理不必要的“通道” “过桥”环节，降低贷款利率及附加成本。</w:t>
      </w:r>
    </w:p>
    <w:p>
      <w:pPr>
        <w:spacing w:line="140" w:lineRule="atLeast"/>
        <w:ind w:firstLine="480" w:firstLineChars="200"/>
        <w:rPr>
          <w:rFonts w:cs="Times New Roman" w:asciiTheme="minorEastAsia" w:hAnsiTheme="minorEastAsia"/>
          <w:bCs/>
          <w:kern w:val="0"/>
          <w:sz w:val="24"/>
        </w:rPr>
      </w:pPr>
      <w:r>
        <w:rPr>
          <w:rFonts w:hint="eastAsia" w:cs="Times New Roman" w:asciiTheme="minorEastAsia" w:hAnsiTheme="minorEastAsia"/>
          <w:bCs/>
          <w:kern w:val="0"/>
          <w:sz w:val="24"/>
        </w:rPr>
        <w:t xml:space="preserve">The special </w:t>
      </w:r>
      <w:r>
        <w:rPr>
          <w:rFonts w:cs="Times New Roman" w:asciiTheme="minorEastAsia" w:hAnsiTheme="minorEastAsia"/>
          <w:bCs/>
          <w:kern w:val="0"/>
          <w:sz w:val="24"/>
        </w:rPr>
        <w:t>rectification</w:t>
      </w:r>
      <w:r>
        <w:rPr>
          <w:rFonts w:hint="eastAsia" w:cs="Times New Roman" w:asciiTheme="minorEastAsia" w:hAnsiTheme="minorEastAsia"/>
          <w:bCs/>
          <w:kern w:val="0"/>
          <w:sz w:val="24"/>
        </w:rPr>
        <w:t xml:space="preserve"> of banks</w:t>
      </w:r>
      <w:r>
        <w:rPr>
          <w:rFonts w:cs="Times New Roman" w:asciiTheme="minorEastAsia" w:hAnsiTheme="minorEastAsia"/>
          <w:bCs/>
          <w:kern w:val="0"/>
          <w:sz w:val="24"/>
        </w:rPr>
        <w:t>’</w:t>
      </w:r>
      <w:r>
        <w:rPr>
          <w:rFonts w:hint="eastAsia" w:cs="Times New Roman" w:asciiTheme="minorEastAsia" w:hAnsiTheme="minorEastAsia"/>
          <w:bCs/>
          <w:kern w:val="0"/>
          <w:sz w:val="24"/>
        </w:rPr>
        <w:t xml:space="preserve"> illegal</w:t>
      </w:r>
      <w:r>
        <w:rPr>
          <w:rFonts w:cs="Times New Roman" w:asciiTheme="minorEastAsia" w:hAnsiTheme="minorEastAsia"/>
          <w:bCs/>
          <w:kern w:val="0"/>
          <w:sz w:val="24"/>
        </w:rPr>
        <w:t xml:space="preserve"> </w:t>
      </w:r>
      <w:r>
        <w:rPr>
          <w:rFonts w:hint="eastAsia" w:cs="Times New Roman" w:asciiTheme="minorEastAsia" w:hAnsiTheme="minorEastAsia"/>
          <w:bCs/>
          <w:kern w:val="0"/>
          <w:sz w:val="24"/>
        </w:rPr>
        <w:t>charges to enterprises</w:t>
      </w:r>
      <w:r>
        <w:rPr>
          <w:rFonts w:hint="eastAsia" w:cs="Times New Roman" w:asciiTheme="minorEastAsia" w:hAnsiTheme="minorEastAsia"/>
          <w:bCs/>
          <w:sz w:val="24"/>
        </w:rPr>
        <w:t xml:space="preserve"> will be implemented. </w:t>
      </w:r>
      <w:r>
        <w:rPr>
          <w:rFonts w:cs="Times New Roman" w:asciiTheme="minorEastAsia" w:hAnsiTheme="minorEastAsia"/>
          <w:bCs/>
          <w:sz w:val="24"/>
        </w:rPr>
        <w:t>Banks</w:t>
      </w:r>
      <w:r>
        <w:rPr>
          <w:rFonts w:cs="Times New Roman" w:asciiTheme="minorEastAsia" w:hAnsiTheme="minorEastAsia"/>
          <w:bCs/>
          <w:kern w:val="0"/>
          <w:sz w:val="24"/>
        </w:rPr>
        <w:t xml:space="preserve"> will be </w:t>
      </w:r>
      <w:r>
        <w:rPr>
          <w:rFonts w:hint="eastAsia" w:cs="Times New Roman" w:asciiTheme="minorEastAsia" w:hAnsiTheme="minorEastAsia"/>
          <w:bCs/>
          <w:sz w:val="24"/>
        </w:rPr>
        <w:t>guided to establis</w:t>
      </w:r>
      <w:r>
        <w:rPr>
          <w:rFonts w:cs="Times New Roman" w:asciiTheme="minorEastAsia" w:hAnsiTheme="minorEastAsia"/>
          <w:bCs/>
          <w:sz w:val="24"/>
        </w:rPr>
        <w:t>h</w:t>
      </w:r>
      <w:r>
        <w:rPr>
          <w:rFonts w:hint="eastAsia" w:cs="Times New Roman" w:asciiTheme="minorEastAsia" w:hAnsiTheme="minorEastAsia"/>
          <w:bCs/>
          <w:sz w:val="24"/>
        </w:rPr>
        <w:t xml:space="preserve"> </w:t>
      </w:r>
      <w:r>
        <w:rPr>
          <w:rFonts w:cs="Times New Roman" w:asciiTheme="minorEastAsia" w:hAnsiTheme="minorEastAsia"/>
          <w:bCs/>
          <w:sz w:val="24"/>
        </w:rPr>
        <w:t xml:space="preserve">a </w:t>
      </w:r>
      <w:r>
        <w:rPr>
          <w:rFonts w:hint="eastAsia" w:cs="Times New Roman" w:asciiTheme="minorEastAsia" w:hAnsiTheme="minorEastAsia"/>
          <w:bCs/>
          <w:kern w:val="0"/>
          <w:sz w:val="24"/>
        </w:rPr>
        <w:t>differentiated pricing mechanism of loan interest rates for micro</w:t>
      </w:r>
      <w:r>
        <w:rPr>
          <w:rFonts w:cs="Times New Roman" w:asciiTheme="minorEastAsia" w:hAnsiTheme="minorEastAsia"/>
          <w:bCs/>
          <w:kern w:val="0"/>
          <w:sz w:val="24"/>
        </w:rPr>
        <w:t>&amp;small</w:t>
      </w:r>
      <w:r>
        <w:rPr>
          <w:rFonts w:hint="eastAsia" w:cs="Times New Roman" w:asciiTheme="minorEastAsia" w:hAnsiTheme="minorEastAsia"/>
          <w:bCs/>
          <w:kern w:val="0"/>
          <w:sz w:val="24"/>
        </w:rPr>
        <w:t xml:space="preserve"> enterprise</w:t>
      </w:r>
      <w:r>
        <w:rPr>
          <w:rFonts w:cs="Times New Roman" w:asciiTheme="minorEastAsia" w:hAnsiTheme="minorEastAsia"/>
          <w:bCs/>
          <w:kern w:val="0"/>
          <w:sz w:val="24"/>
        </w:rPr>
        <w:t>s</w:t>
      </w:r>
      <w:r>
        <w:rPr>
          <w:rFonts w:hint="eastAsia" w:cs="Times New Roman" w:asciiTheme="minorEastAsia" w:hAnsiTheme="minorEastAsia"/>
          <w:bCs/>
          <w:kern w:val="0"/>
          <w:sz w:val="24"/>
        </w:rPr>
        <w:t>. Meanwhile,</w:t>
      </w:r>
      <w:r>
        <w:rPr>
          <w:rFonts w:cs="Times New Roman" w:asciiTheme="minorEastAsia" w:hAnsiTheme="minorEastAsia"/>
          <w:bCs/>
          <w:kern w:val="0"/>
          <w:sz w:val="24"/>
        </w:rPr>
        <w:t xml:space="preserve"> the </w:t>
      </w:r>
      <w:r>
        <w:rPr>
          <w:rFonts w:hint="eastAsia" w:cs="Times New Roman" w:asciiTheme="minorEastAsia" w:hAnsiTheme="minorEastAsia"/>
          <w:bCs/>
          <w:kern w:val="0"/>
          <w:sz w:val="24"/>
        </w:rPr>
        <w:t>financing process will be</w:t>
      </w:r>
      <w:r>
        <w:rPr>
          <w:rFonts w:cs="Times New Roman" w:asciiTheme="minorEastAsia" w:hAnsiTheme="minorEastAsia"/>
          <w:bCs/>
          <w:kern w:val="0"/>
          <w:sz w:val="24"/>
        </w:rPr>
        <w:t xml:space="preserve"> </w:t>
      </w:r>
      <w:r>
        <w:rPr>
          <w:rFonts w:hint="eastAsia" w:cs="Times New Roman" w:asciiTheme="minorEastAsia" w:hAnsiTheme="minorEastAsia"/>
          <w:bCs/>
          <w:kern w:val="0"/>
          <w:sz w:val="24"/>
        </w:rPr>
        <w:t xml:space="preserve">shortened and </w:t>
      </w:r>
      <w:r>
        <w:rPr>
          <w:rFonts w:cs="Times New Roman" w:asciiTheme="minorEastAsia" w:hAnsiTheme="minorEastAsia"/>
          <w:bCs/>
          <w:kern w:val="0"/>
          <w:sz w:val="24"/>
        </w:rPr>
        <w:t xml:space="preserve">the </w:t>
      </w:r>
      <w:r>
        <w:rPr>
          <w:rFonts w:cs="宋体" w:asciiTheme="minorEastAsia" w:hAnsiTheme="minorEastAsia"/>
          <w:sz w:val="24"/>
        </w:rPr>
        <w:t>redundant</w:t>
      </w:r>
      <w:r>
        <w:rPr>
          <w:rFonts w:hint="eastAsia" w:cs="宋体" w:asciiTheme="minorEastAsia" w:hAnsiTheme="minorEastAsia"/>
          <w:sz w:val="24"/>
        </w:rPr>
        <w:t>“p</w:t>
      </w:r>
      <w:r>
        <w:rPr>
          <w:rFonts w:cs="宋体" w:asciiTheme="minorEastAsia" w:hAnsiTheme="minorEastAsia"/>
          <w:sz w:val="24"/>
        </w:rPr>
        <w:t xml:space="preserve">assing” or “bridging” procedures </w:t>
      </w:r>
      <w:r>
        <w:rPr>
          <w:rFonts w:hint="eastAsia" w:cs="宋体" w:asciiTheme="minorEastAsia" w:hAnsiTheme="minorEastAsia"/>
          <w:sz w:val="24"/>
        </w:rPr>
        <w:t>will</w:t>
      </w:r>
      <w:r>
        <w:rPr>
          <w:rFonts w:cs="宋体" w:asciiTheme="minorEastAsia" w:hAnsiTheme="minorEastAsia"/>
          <w:sz w:val="24"/>
        </w:rPr>
        <w:t xml:space="preserve"> </w:t>
      </w:r>
      <w:r>
        <w:rPr>
          <w:rFonts w:hint="eastAsia" w:cs="宋体" w:asciiTheme="minorEastAsia" w:hAnsiTheme="minorEastAsia"/>
          <w:sz w:val="24"/>
        </w:rPr>
        <w:t>be</w:t>
      </w:r>
      <w:r>
        <w:rPr>
          <w:rFonts w:cs="Times New Roman" w:asciiTheme="minorEastAsia" w:hAnsiTheme="minorEastAsia"/>
          <w:bCs/>
          <w:kern w:val="0"/>
          <w:sz w:val="24"/>
        </w:rPr>
        <w:t xml:space="preserve"> reduced</w:t>
      </w:r>
      <w:r>
        <w:rPr>
          <w:rFonts w:hint="eastAsia" w:cs="Times New Roman" w:asciiTheme="minorEastAsia" w:hAnsiTheme="minorEastAsia"/>
          <w:bCs/>
          <w:kern w:val="0"/>
          <w:sz w:val="24"/>
        </w:rPr>
        <w:t xml:space="preserve">, </w:t>
      </w:r>
      <w:r>
        <w:rPr>
          <w:rFonts w:cs="Times New Roman" w:asciiTheme="minorEastAsia" w:hAnsiTheme="minorEastAsia"/>
          <w:bCs/>
          <w:kern w:val="0"/>
          <w:sz w:val="24"/>
        </w:rPr>
        <w:t xml:space="preserve">so as </w:t>
      </w:r>
      <w:r>
        <w:rPr>
          <w:rFonts w:hint="eastAsia" w:cs="Times New Roman" w:asciiTheme="minorEastAsia" w:hAnsiTheme="minorEastAsia"/>
          <w:bCs/>
          <w:kern w:val="0"/>
          <w:sz w:val="24"/>
        </w:rPr>
        <w:t xml:space="preserve">to </w:t>
      </w:r>
      <w:r>
        <w:rPr>
          <w:rFonts w:cs="Times New Roman" w:asciiTheme="minorEastAsia" w:hAnsiTheme="minorEastAsia"/>
          <w:bCs/>
          <w:kern w:val="0"/>
          <w:sz w:val="24"/>
        </w:rPr>
        <w:t>lower the</w:t>
      </w:r>
      <w:r>
        <w:rPr>
          <w:rFonts w:hint="eastAsia" w:cs="Times New Roman" w:asciiTheme="minorEastAsia" w:hAnsiTheme="minorEastAsia"/>
          <w:bCs/>
          <w:kern w:val="0"/>
          <w:sz w:val="24"/>
        </w:rPr>
        <w:t xml:space="preserve"> </w:t>
      </w:r>
      <w:r>
        <w:rPr>
          <w:rFonts w:cs="Times New Roman" w:asciiTheme="minorEastAsia" w:hAnsiTheme="minorEastAsia"/>
          <w:bCs/>
          <w:kern w:val="0"/>
          <w:sz w:val="24"/>
        </w:rPr>
        <w:t xml:space="preserve">loan interest rates and the </w:t>
      </w:r>
      <w:r>
        <w:rPr>
          <w:rFonts w:hint="eastAsia" w:cs="Times New Roman" w:asciiTheme="minorEastAsia" w:hAnsiTheme="minorEastAsia"/>
          <w:bCs/>
          <w:kern w:val="0"/>
          <w:sz w:val="24"/>
        </w:rPr>
        <w:t xml:space="preserve">additional </w:t>
      </w:r>
      <w:r>
        <w:rPr>
          <w:rFonts w:cs="Times New Roman" w:asciiTheme="minorEastAsia" w:hAnsiTheme="minorEastAsia"/>
          <w:bCs/>
          <w:kern w:val="0"/>
          <w:sz w:val="24"/>
        </w:rPr>
        <w:t xml:space="preserve">loan </w:t>
      </w:r>
      <w:r>
        <w:rPr>
          <w:rFonts w:hint="eastAsia" w:cs="Times New Roman" w:asciiTheme="minorEastAsia" w:hAnsiTheme="minorEastAsia"/>
          <w:bCs/>
          <w:kern w:val="0"/>
          <w:sz w:val="24"/>
        </w:rPr>
        <w:t>cost</w:t>
      </w:r>
      <w:r>
        <w:rPr>
          <w:rFonts w:cs="Times New Roman" w:asciiTheme="minorEastAsia" w:hAnsiTheme="minorEastAsia"/>
          <w:bCs/>
          <w:kern w:val="0"/>
          <w:sz w:val="24"/>
        </w:rPr>
        <w:t>.</w:t>
      </w:r>
    </w:p>
    <w:p>
      <w:pPr>
        <w:spacing w:line="140" w:lineRule="atLeast"/>
        <w:rPr>
          <w:rFonts w:asciiTheme="minorEastAsia" w:hAnsiTheme="minorEastAsia"/>
          <w:sz w:val="22"/>
          <w:szCs w:val="22"/>
        </w:rPr>
      </w:pPr>
    </w:p>
    <w:p>
      <w:pPr>
        <w:spacing w:line="140" w:lineRule="atLeast"/>
        <w:rPr>
          <w:rFonts w:asciiTheme="minorEastAsia" w:hAnsiTheme="minorEastAsia"/>
          <w:color w:val="FFFFFF" w:themeColor="background1"/>
          <w:sz w:val="32"/>
          <w:szCs w:val="32"/>
          <w:highlight w:val="blue"/>
          <w14:textFill>
            <w14:solidFill>
              <w14:schemeClr w14:val="bg1"/>
            </w14:solidFill>
          </w14:textFill>
        </w:rPr>
      </w:pPr>
      <w:r>
        <w:rPr>
          <w:rFonts w:hint="eastAsia" w:asciiTheme="minorEastAsia" w:hAnsiTheme="minorEastAsia"/>
          <w:color w:val="FFFFFF" w:themeColor="background1"/>
          <w:sz w:val="32"/>
          <w:szCs w:val="32"/>
          <w:highlight w:val="blue"/>
          <w14:textFill>
            <w14:solidFill>
              <w14:schemeClr w14:val="bg1"/>
            </w14:solidFill>
          </w14:textFill>
        </w:rPr>
        <w:t>二、创新信贷产品</w:t>
      </w:r>
    </w:p>
    <w:p>
      <w:pPr>
        <w:spacing w:line="140" w:lineRule="atLeast"/>
        <w:rPr>
          <w:rFonts w:asciiTheme="minorEastAsia" w:hAnsiTheme="minorEastAsia"/>
          <w:sz w:val="24"/>
        </w:rPr>
      </w:pPr>
      <w:r>
        <w:rPr>
          <w:rFonts w:hint="eastAsia" w:asciiTheme="minorEastAsia" w:hAnsiTheme="minorEastAsia"/>
          <w:sz w:val="24"/>
        </w:rPr>
        <w:t>Ⅱ.</w:t>
      </w:r>
      <w:r>
        <w:rPr>
          <w:rFonts w:asciiTheme="minorEastAsia" w:hAnsiTheme="minorEastAsia"/>
          <w:sz w:val="24"/>
        </w:rPr>
        <w:t>To i</w:t>
      </w:r>
      <w:r>
        <w:rPr>
          <w:rFonts w:hint="eastAsia" w:asciiTheme="minorEastAsia" w:hAnsiTheme="minorEastAsia"/>
          <w:sz w:val="24"/>
        </w:rPr>
        <w:t>nnovat</w:t>
      </w:r>
      <w:r>
        <w:rPr>
          <w:rFonts w:asciiTheme="minorEastAsia" w:hAnsiTheme="minorEastAsia"/>
          <w:sz w:val="24"/>
        </w:rPr>
        <w:t>e</w:t>
      </w:r>
      <w:r>
        <w:rPr>
          <w:rFonts w:hint="eastAsia" w:asciiTheme="minorEastAsia" w:hAnsiTheme="minorEastAsia"/>
          <w:sz w:val="24"/>
        </w:rPr>
        <w:t xml:space="preserve"> credit products</w:t>
      </w:r>
    </w:p>
    <w:p>
      <w:pPr>
        <w:spacing w:line="140" w:lineRule="atLeast"/>
        <w:ind w:firstLine="480" w:firstLineChars="200"/>
        <w:rPr>
          <w:rFonts w:asciiTheme="minorEastAsia" w:hAnsiTheme="minorEastAsia"/>
          <w:sz w:val="24"/>
        </w:rPr>
      </w:pPr>
      <w:r>
        <w:rPr>
          <w:rFonts w:hint="eastAsia" w:asciiTheme="minorEastAsia" w:hAnsiTheme="minorEastAsia"/>
          <w:sz w:val="24"/>
        </w:rPr>
        <w:t>推进‘银税互动’、 知识价值信用贷款、商业价值信用贷款、‘渝快融’‘信易融’‘信易贷’等大数据金融服务和产品创新。</w:t>
      </w:r>
    </w:p>
    <w:p>
      <w:pPr>
        <w:spacing w:line="140" w:lineRule="atLeast"/>
        <w:rPr>
          <w:rFonts w:asciiTheme="minorEastAsia" w:hAnsiTheme="minorEastAsia"/>
          <w:sz w:val="22"/>
          <w:szCs w:val="22"/>
        </w:rPr>
      </w:pPr>
      <w:r>
        <w:rPr>
          <w:rFonts w:asciiTheme="minorEastAsia" w:hAnsiTheme="minorEastAsia"/>
          <w:sz w:val="24"/>
        </w:rPr>
        <w:t>Big data financial services and production innovation, such as “Bank-Tax interaction”, credit loans with knowledge value, credit loans with commercial value, “Chongqing Express Finance”, “Easy Credit Finance”, and “Easy Credit Loan” will be continuously promoted.</w:t>
      </w:r>
    </w:p>
    <w:p>
      <w:pPr>
        <w:spacing w:line="140" w:lineRule="atLeast"/>
        <w:rPr>
          <w:rFonts w:asciiTheme="minorEastAsia" w:hAnsiTheme="minorEastAsia"/>
          <w:sz w:val="24"/>
        </w:rPr>
      </w:pPr>
    </w:p>
    <w:p>
      <w:pPr>
        <w:spacing w:line="140" w:lineRule="atLeast"/>
        <w:rPr>
          <w:color w:val="FFFFFF" w:themeColor="background1"/>
          <w:sz w:val="32"/>
          <w:szCs w:val="32"/>
          <w:highlight w:val="blue"/>
          <w14:textFill>
            <w14:solidFill>
              <w14:schemeClr w14:val="bg1"/>
            </w14:solidFill>
          </w14:textFill>
        </w:rPr>
      </w:pPr>
      <w:r>
        <w:rPr>
          <w:color w:val="FFFFFF" w:themeColor="background1"/>
          <w:sz w:val="32"/>
          <w:szCs w:val="32"/>
          <w:highlight w:val="blue"/>
          <w14:textFill>
            <w14:solidFill>
              <w14:schemeClr w14:val="bg1"/>
            </w14:solidFill>
          </w14:textFill>
        </w:rPr>
        <w:t>三、优化信贷流程</w:t>
      </w:r>
    </w:p>
    <w:p>
      <w:pPr>
        <w:adjustRightInd w:val="0"/>
        <w:spacing w:before="156" w:beforeLines="50" w:after="156" w:afterLines="50" w:line="140" w:lineRule="atLeast"/>
        <w:rPr>
          <w:rStyle w:val="11"/>
          <w:rFonts w:cs="Times New Roman" w:asciiTheme="minorEastAsia" w:hAnsiTheme="minorEastAsia"/>
          <w:bCs/>
          <w:color w:val="000000" w:themeColor="text1"/>
          <w:sz w:val="24"/>
          <w:szCs w:val="24"/>
          <w14:textFill>
            <w14:solidFill>
              <w14:schemeClr w14:val="tx1"/>
            </w14:solidFill>
          </w14:textFill>
        </w:rPr>
      </w:pPr>
      <w:r>
        <w:rPr>
          <w:rStyle w:val="11"/>
          <w:rFonts w:cs="Times New Roman" w:asciiTheme="minorEastAsia" w:hAnsiTheme="minorEastAsia"/>
          <w:color w:val="000000" w:themeColor="text1"/>
          <w:sz w:val="24"/>
          <w:szCs w:val="24"/>
          <w14:textFill>
            <w14:solidFill>
              <w14:schemeClr w14:val="tx1"/>
            </w14:solidFill>
          </w14:textFill>
        </w:rPr>
        <w:t>III．</w:t>
      </w:r>
      <w:r>
        <w:rPr>
          <w:rFonts w:cs="Times New Roman" w:asciiTheme="minorEastAsia" w:hAnsiTheme="minorEastAsia"/>
          <w:bCs/>
          <w:color w:val="000000" w:themeColor="text1"/>
          <w:sz w:val="24"/>
          <w14:textFill>
            <w14:solidFill>
              <w14:schemeClr w14:val="tx1"/>
            </w14:solidFill>
          </w14:textFill>
        </w:rPr>
        <w:t>To optimize the credit procedure</w:t>
      </w:r>
    </w:p>
    <w:p>
      <w:pPr>
        <w:spacing w:line="140" w:lineRule="atLeast"/>
        <w:rPr>
          <w:rFonts w:asciiTheme="minorEastAsia" w:hAnsiTheme="minorEastAsia"/>
          <w:b/>
          <w:bCs/>
          <w:color w:val="2E75B6" w:themeColor="accent5" w:themeShade="BF"/>
          <w:sz w:val="28"/>
          <w:szCs w:val="28"/>
        </w:rPr>
      </w:pPr>
      <w:r>
        <w:rPr>
          <w:rFonts w:hint="eastAsia" w:asciiTheme="minorEastAsia" w:hAnsiTheme="minorEastAsia"/>
          <w:b/>
          <w:bCs/>
          <w:color w:val="2E75B6" w:themeColor="accent5" w:themeShade="BF"/>
          <w:sz w:val="28"/>
          <w:szCs w:val="28"/>
        </w:rPr>
        <w:t>(一)</w:t>
      </w:r>
      <w:r>
        <w:rPr>
          <w:rFonts w:asciiTheme="minorEastAsia" w:hAnsiTheme="minorEastAsia"/>
          <w:b/>
          <w:bCs/>
          <w:color w:val="2E75B6" w:themeColor="accent5" w:themeShade="BF"/>
          <w:sz w:val="28"/>
          <w:szCs w:val="28"/>
        </w:rPr>
        <w:t>开设票据贴现“绿色窗口”</w:t>
      </w:r>
    </w:p>
    <w:p>
      <w:pPr>
        <w:adjustRightInd w:val="0"/>
        <w:spacing w:before="156" w:beforeLines="50" w:after="156" w:afterLines="50" w:line="140" w:lineRule="atLeast"/>
        <w:ind w:left="480"/>
        <w:rPr>
          <w:rFonts w:cs="Times New Roman" w:asciiTheme="minorEastAsia" w:hAnsiTheme="minorEastAsia"/>
          <w:sz w:val="24"/>
        </w:rPr>
      </w:pPr>
      <w:r>
        <w:rPr>
          <w:rFonts w:cs="Times New Roman" w:asciiTheme="minorEastAsia" w:hAnsiTheme="minorEastAsia"/>
          <w:sz w:val="24"/>
        </w:rPr>
        <w:t xml:space="preserve">1. To establish a “green counter” for bill discount </w:t>
      </w:r>
    </w:p>
    <w:p>
      <w:pPr>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加大票据融资支持力度，商业银行简化贴现业务流程，开设票据贴现“绿色窗口”，提高贴现融资效率。</w:t>
      </w:r>
    </w:p>
    <w:p>
      <w:pPr>
        <w:adjustRightInd w:val="0"/>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 xml:space="preserve">The intensity of </w:t>
      </w:r>
      <w:bookmarkStart w:id="0" w:name="_Hlk31146919"/>
      <w:r>
        <w:rPr>
          <w:rFonts w:hint="eastAsia" w:cs="Times New Roman" w:asciiTheme="minorEastAsia" w:hAnsiTheme="minorEastAsia"/>
          <w:sz w:val="24"/>
        </w:rPr>
        <w:t>bill</w:t>
      </w:r>
      <w:r>
        <w:rPr>
          <w:rFonts w:cs="Times New Roman" w:asciiTheme="minorEastAsia" w:hAnsiTheme="minorEastAsia"/>
          <w:sz w:val="24"/>
        </w:rPr>
        <w:t xml:space="preserve"> financing</w:t>
      </w:r>
      <w:bookmarkEnd w:id="0"/>
      <w:r>
        <w:rPr>
          <w:rFonts w:cs="Times New Roman" w:asciiTheme="minorEastAsia" w:hAnsiTheme="minorEastAsia"/>
          <w:sz w:val="24"/>
        </w:rPr>
        <w:t xml:space="preserve"> will be increased. Commercial banks will simplify the </w:t>
      </w:r>
      <w:r>
        <w:rPr>
          <w:rFonts w:cs="Times New Roman" w:asciiTheme="minorEastAsia" w:hAnsiTheme="minorEastAsia"/>
          <w:bCs/>
          <w:sz w:val="24"/>
        </w:rPr>
        <w:t xml:space="preserve">procedure </w:t>
      </w:r>
      <w:r>
        <w:rPr>
          <w:rFonts w:cs="Times New Roman" w:asciiTheme="minorEastAsia" w:hAnsiTheme="minorEastAsia"/>
          <w:sz w:val="24"/>
        </w:rPr>
        <w:t>of discount operation</w:t>
      </w:r>
      <w:r>
        <w:rPr>
          <w:rFonts w:hint="eastAsia" w:cs="Times New Roman" w:asciiTheme="minorEastAsia" w:hAnsiTheme="minorEastAsia"/>
          <w:sz w:val="24"/>
        </w:rPr>
        <w:t>,</w:t>
      </w:r>
      <w:r>
        <w:rPr>
          <w:rFonts w:cs="Times New Roman" w:asciiTheme="minorEastAsia" w:hAnsiTheme="minorEastAsia"/>
          <w:sz w:val="24"/>
        </w:rPr>
        <w:t xml:space="preserve"> </w:t>
      </w:r>
      <w:r>
        <w:rPr>
          <w:rFonts w:hint="eastAsia" w:cs="Times New Roman" w:asciiTheme="minorEastAsia" w:hAnsiTheme="minorEastAsia"/>
          <w:sz w:val="24"/>
        </w:rPr>
        <w:t>and</w:t>
      </w:r>
      <w:r>
        <w:rPr>
          <w:rFonts w:cs="Times New Roman" w:asciiTheme="minorEastAsia" w:hAnsiTheme="minorEastAsia"/>
          <w:sz w:val="24"/>
        </w:rPr>
        <w:t xml:space="preserve"> establish a “green counter” for bill discount, so as to improve the efficiency of discount financing.</w:t>
      </w:r>
    </w:p>
    <w:p>
      <w:pPr>
        <w:spacing w:line="140" w:lineRule="atLeast"/>
        <w:rPr>
          <w:rFonts w:asciiTheme="minorEastAsia" w:hAnsiTheme="minorEastAsia"/>
          <w:b/>
          <w:bCs/>
          <w:color w:val="2E75B6" w:themeColor="accent5" w:themeShade="BF"/>
          <w:sz w:val="28"/>
          <w:szCs w:val="28"/>
        </w:rPr>
      </w:pPr>
      <w:r>
        <w:rPr>
          <w:rFonts w:hint="eastAsia" w:asciiTheme="minorEastAsia" w:hAnsiTheme="minorEastAsia"/>
          <w:b/>
          <w:bCs/>
          <w:color w:val="2E75B6" w:themeColor="accent5" w:themeShade="BF"/>
          <w:sz w:val="28"/>
          <w:szCs w:val="28"/>
        </w:rPr>
        <w:t xml:space="preserve"> (二)</w:t>
      </w:r>
      <w:r>
        <w:rPr>
          <w:rFonts w:asciiTheme="minorEastAsia" w:hAnsiTheme="minorEastAsia"/>
          <w:b/>
          <w:bCs/>
          <w:color w:val="2E75B6" w:themeColor="accent5" w:themeShade="BF"/>
          <w:sz w:val="28"/>
          <w:szCs w:val="28"/>
        </w:rPr>
        <w:t>提高授信审批效率</w:t>
      </w:r>
    </w:p>
    <w:p>
      <w:pPr>
        <w:spacing w:before="156" w:beforeLines="50" w:after="156" w:afterLines="50" w:line="140" w:lineRule="atLeast"/>
        <w:ind w:left="480"/>
        <w:rPr>
          <w:rFonts w:cs="Times New Roman" w:asciiTheme="minorEastAsia" w:hAnsiTheme="minorEastAsia"/>
          <w:sz w:val="24"/>
        </w:rPr>
      </w:pPr>
      <w:r>
        <w:rPr>
          <w:rFonts w:cs="Times New Roman" w:asciiTheme="minorEastAsia" w:hAnsiTheme="minorEastAsia"/>
          <w:sz w:val="24"/>
        </w:rPr>
        <w:t>2. To enhance the efficiency of credit granting approval</w:t>
      </w:r>
    </w:p>
    <w:p>
      <w:pPr>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鼓励运用大数据、云计算、人工智能和区块链信息科技提供线上贷款渠道，提高授信审批效率。加大续贷政策落实力度。积极探索建立贷款全流程限时制度，按业务类别对小微企业贷款办理时限做出明确承诺。</w:t>
      </w:r>
    </w:p>
    <w:p>
      <w:pPr>
        <w:spacing w:before="156" w:beforeLines="50" w:after="156" w:afterLines="50" w:line="140" w:lineRule="atLeast"/>
        <w:rPr>
          <w:rFonts w:cs="Times New Roman" w:asciiTheme="minorEastAsia" w:hAnsiTheme="minorEastAsia"/>
          <w:sz w:val="24"/>
        </w:rPr>
      </w:pPr>
      <w:r>
        <w:rPr>
          <w:rFonts w:cs="Times New Roman" w:asciiTheme="minorEastAsia" w:hAnsiTheme="minorEastAsia"/>
          <w:sz w:val="24"/>
        </w:rPr>
        <w:t xml:space="preserve">The application of such information technology as big data, cloud computing, artificial intelligence and block chain will be encouraged to </w:t>
      </w:r>
      <w:r>
        <w:rPr>
          <w:rFonts w:cs="Times New Roman" w:asciiTheme="minorEastAsia" w:hAnsiTheme="minorEastAsia"/>
          <w:bCs/>
          <w:kern w:val="0"/>
          <w:sz w:val="24"/>
        </w:rPr>
        <w:t xml:space="preserve">furnish </w:t>
      </w:r>
      <w:r>
        <w:rPr>
          <w:rFonts w:cs="Times New Roman" w:asciiTheme="minorEastAsia" w:hAnsiTheme="minorEastAsia"/>
          <w:sz w:val="24"/>
        </w:rPr>
        <w:t xml:space="preserve">online loan channels, hence enhancing the efficiency of credit approval. The implementation strength of the renewal loan policy will be enhanced. Besides, </w:t>
      </w:r>
      <w:bookmarkStart w:id="1" w:name="_Hlk31149518"/>
      <w:r>
        <w:rPr>
          <w:rFonts w:cs="Times New Roman" w:asciiTheme="minorEastAsia" w:hAnsiTheme="minorEastAsia"/>
          <w:sz w:val="24"/>
        </w:rPr>
        <w:t>the time-limited system for the whole loaning process</w:t>
      </w:r>
      <w:bookmarkEnd w:id="1"/>
      <w:r>
        <w:rPr>
          <w:rFonts w:cs="Times New Roman" w:asciiTheme="minorEastAsia" w:hAnsiTheme="minorEastAsia"/>
          <w:sz w:val="24"/>
        </w:rPr>
        <w:t xml:space="preserve"> will be established actively, making </w:t>
      </w:r>
      <w:bookmarkStart w:id="2" w:name="_Hlk31149701"/>
      <w:r>
        <w:rPr>
          <w:rFonts w:cs="Times New Roman" w:asciiTheme="minorEastAsia" w:hAnsiTheme="minorEastAsia"/>
          <w:sz w:val="24"/>
        </w:rPr>
        <w:t>a clear commitment</w:t>
      </w:r>
      <w:bookmarkEnd w:id="2"/>
      <w:r>
        <w:rPr>
          <w:rFonts w:cs="Times New Roman" w:asciiTheme="minorEastAsia" w:hAnsiTheme="minorEastAsia"/>
          <w:sz w:val="24"/>
        </w:rPr>
        <w:t xml:space="preserve"> on the processing deadlines for micro&amp;small enterprise loans in accordance with their business categories respectively. </w:t>
      </w:r>
    </w:p>
    <w:p>
      <w:pPr>
        <w:spacing w:before="156" w:beforeLines="50" w:after="156" w:afterLines="50" w:line="140" w:lineRule="atLeast"/>
        <w:rPr>
          <w:rStyle w:val="11"/>
          <w:rFonts w:cs="Times New Roman" w:asciiTheme="minorEastAsia" w:hAnsiTheme="minorEastAsia"/>
          <w:color w:val="auto"/>
          <w:sz w:val="22"/>
          <w:szCs w:val="22"/>
        </w:rPr>
      </w:pPr>
    </w:p>
    <w:p>
      <w:pPr>
        <w:spacing w:line="140" w:lineRule="atLeast"/>
        <w:rPr>
          <w:color w:val="FFFFFF" w:themeColor="background1"/>
          <w:sz w:val="32"/>
          <w:szCs w:val="32"/>
          <w:highlight w:val="blue"/>
          <w14:textFill>
            <w14:solidFill>
              <w14:schemeClr w14:val="bg1"/>
            </w14:solidFill>
          </w14:textFill>
        </w:rPr>
      </w:pPr>
      <w:r>
        <w:rPr>
          <w:color w:val="FFFFFF" w:themeColor="background1"/>
          <w:sz w:val="32"/>
          <w:szCs w:val="32"/>
          <w:highlight w:val="blue"/>
          <w14:textFill>
            <w14:solidFill>
              <w14:schemeClr w14:val="bg1"/>
            </w14:solidFill>
          </w14:textFill>
        </w:rPr>
        <w:t>四、提高担保增信</w:t>
      </w:r>
    </w:p>
    <w:p>
      <w:pPr>
        <w:adjustRightInd w:val="0"/>
        <w:spacing w:line="140" w:lineRule="atLeast"/>
        <w:rPr>
          <w:rFonts w:cs="Times New Roman" w:asciiTheme="minorEastAsia" w:hAnsiTheme="minorEastAsia"/>
          <w:sz w:val="24"/>
        </w:rPr>
      </w:pPr>
      <w:r>
        <w:rPr>
          <w:rFonts w:cs="Times New Roman" w:asciiTheme="minorEastAsia" w:hAnsiTheme="minorEastAsia"/>
          <w:sz w:val="24"/>
        </w:rPr>
        <w:t xml:space="preserve">IV. To </w:t>
      </w:r>
      <w:r>
        <w:rPr>
          <w:rFonts w:cs="Times New Roman" w:asciiTheme="minorEastAsia" w:hAnsiTheme="minorEastAsia"/>
          <w:bCs/>
          <w:sz w:val="24"/>
        </w:rPr>
        <w:t>improve the guarantees for credit enhancement</w:t>
      </w:r>
    </w:p>
    <w:p>
      <w:pPr>
        <w:spacing w:line="140" w:lineRule="atLeast"/>
        <w:rPr>
          <w:rFonts w:asciiTheme="minorEastAsia" w:hAnsiTheme="minorEastAsia"/>
          <w:b/>
          <w:bCs/>
          <w:color w:val="2E75B6" w:themeColor="accent5" w:themeShade="BF"/>
          <w:sz w:val="28"/>
          <w:szCs w:val="28"/>
        </w:rPr>
      </w:pPr>
      <w:r>
        <w:rPr>
          <w:rFonts w:hint="eastAsia" w:asciiTheme="minorEastAsia" w:hAnsiTheme="minorEastAsia"/>
          <w:b/>
          <w:bCs/>
          <w:color w:val="2E75B6" w:themeColor="accent5" w:themeShade="BF"/>
          <w:sz w:val="28"/>
          <w:szCs w:val="28"/>
        </w:rPr>
        <w:t>（一）</w:t>
      </w:r>
      <w:r>
        <w:rPr>
          <w:rFonts w:asciiTheme="minorEastAsia" w:hAnsiTheme="minorEastAsia"/>
          <w:b/>
          <w:bCs/>
          <w:color w:val="2E75B6" w:themeColor="accent5" w:themeShade="BF"/>
          <w:sz w:val="28"/>
          <w:szCs w:val="28"/>
        </w:rPr>
        <w:t>动产担保融资创新</w:t>
      </w:r>
    </w:p>
    <w:p>
      <w:pPr>
        <w:pStyle w:val="12"/>
        <w:numPr>
          <w:ilvl w:val="0"/>
          <w:numId w:val="1"/>
        </w:numPr>
        <w:spacing w:before="156" w:beforeLines="50" w:after="156" w:afterLines="50" w:line="140" w:lineRule="atLeast"/>
        <w:ind w:firstLineChars="0"/>
        <w:rPr>
          <w:rFonts w:cs="Times New Roman" w:asciiTheme="minorEastAsia" w:hAnsiTheme="minorEastAsia"/>
          <w:sz w:val="24"/>
          <w:szCs w:val="24"/>
        </w:rPr>
      </w:pPr>
      <w:r>
        <w:rPr>
          <w:rFonts w:cs="Times New Roman" w:asciiTheme="minorEastAsia" w:hAnsiTheme="minorEastAsia"/>
          <w:sz w:val="24"/>
          <w:szCs w:val="24"/>
        </w:rPr>
        <w:t>Innovation in movable property guarantee financing</w:t>
      </w:r>
    </w:p>
    <w:p>
      <w:pPr>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支持民营企业、小微企业运用生产设备、原材料、半成品、产品、机动车等动产以及应收账款、知识产权等权利进行担保融资，鼓励开展担保业务创新。</w:t>
      </w:r>
    </w:p>
    <w:p>
      <w:pPr>
        <w:spacing w:before="156" w:beforeLines="50" w:after="156" w:afterLines="50" w:line="140" w:lineRule="atLeast"/>
        <w:rPr>
          <w:rFonts w:cs="Times New Roman" w:asciiTheme="minorEastAsia" w:hAnsiTheme="minorEastAsia"/>
          <w:color w:val="000000" w:themeColor="text1"/>
          <w:sz w:val="24"/>
          <w14:textFill>
            <w14:solidFill>
              <w14:schemeClr w14:val="tx1"/>
            </w14:solidFill>
          </w14:textFill>
        </w:rPr>
      </w:pPr>
      <w:r>
        <w:rPr>
          <w:rFonts w:cs="Times New Roman" w:asciiTheme="minorEastAsia" w:hAnsiTheme="minorEastAsia"/>
          <w:sz w:val="24"/>
        </w:rPr>
        <w:t>Production equipment, raw materials, semi-finished products, products, motor vehicles, other movable properties, as well as accounts receivable, intellectual property rights and other rights will be supported to be used as collaterals, and</w:t>
      </w:r>
      <w:r>
        <w:rPr>
          <w:rFonts w:hint="eastAsia" w:cs="Times New Roman" w:asciiTheme="minorEastAsia" w:hAnsiTheme="minorEastAsia"/>
          <w:sz w:val="24"/>
        </w:rPr>
        <w:t xml:space="preserve"> </w:t>
      </w:r>
      <w:r>
        <w:rPr>
          <w:rFonts w:cs="Times New Roman" w:asciiTheme="minorEastAsia" w:hAnsiTheme="minorEastAsia"/>
          <w:sz w:val="24"/>
        </w:rPr>
        <w:t>diversified guarantee business innovations will be encouraged to be carried out.</w:t>
      </w:r>
      <w:r>
        <w:rPr>
          <w:rFonts w:cs="Times New Roman" w:asciiTheme="minorEastAsia" w:hAnsiTheme="minorEastAsia"/>
          <w:color w:val="000000" w:themeColor="text1"/>
          <w:sz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3595370</wp:posOffset>
                </wp:positionH>
                <wp:positionV relativeFrom="paragraph">
                  <wp:posOffset>102870</wp:posOffset>
                </wp:positionV>
                <wp:extent cx="621665" cy="0"/>
                <wp:effectExtent l="0" t="0" r="26035" b="19050"/>
                <wp:wrapNone/>
                <wp:docPr id="27" name="直接连接符 27"/>
                <wp:cNvGraphicFramePr/>
                <a:graphic xmlns:a="http://schemas.openxmlformats.org/drawingml/2006/main">
                  <a:graphicData uri="http://schemas.microsoft.com/office/word/2010/wordprocessingShape">
                    <wps:wsp>
                      <wps:cNvCnPr/>
                      <wps:spPr>
                        <a:xfrm flipH="1">
                          <a:off x="0" y="0"/>
                          <a:ext cx="62179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83.1pt;margin-top:8.1pt;height:0pt;width:48.95pt;z-index:251682816;mso-width-relative:page;mso-height-relative:page;" filled="f" stroked="t" coordsize="21600,21600" o:gfxdata="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UeAxl&#10;1QAAAAkBAAAPAAAAAAAAAAEAIAAAADgAAABkcnMvZG93bnJldi54bWxQSwECFAAUAAAACACHTuJA&#10;iwcFYtUBAABuAwAADgAAAAAAAAABACAAAAA6AQAAZHJzL2Uyb0RvYy54bWxQSwUGAAAAAAYABgBZ&#10;AQAAgQUAAAAA&#10;">
                <v:fill on="f" focussize="0,0"/>
                <v:stroke weight="0.5pt" color="#4472C4 [3204]" miterlimit="8" joinstyle="miter"/>
                <v:imagedata o:title=""/>
                <o:lock v:ext="edit" aspectratio="f"/>
              </v:line>
            </w:pict>
          </mc:Fallback>
        </mc:AlternateContent>
      </w:r>
      <w:r>
        <w:rPr>
          <w:rFonts w:cs="Times New Roman" w:asciiTheme="minorEastAsia" w:hAnsiTheme="minorEastAsia"/>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1607185</wp:posOffset>
                </wp:positionH>
                <wp:positionV relativeFrom="paragraph">
                  <wp:posOffset>147320</wp:posOffset>
                </wp:positionV>
                <wp:extent cx="621665" cy="0"/>
                <wp:effectExtent l="0" t="0" r="26035" b="19050"/>
                <wp:wrapNone/>
                <wp:docPr id="26" name="直接连接符 26"/>
                <wp:cNvGraphicFramePr/>
                <a:graphic xmlns:a="http://schemas.openxmlformats.org/drawingml/2006/main">
                  <a:graphicData uri="http://schemas.microsoft.com/office/word/2010/wordprocessingShape">
                    <wps:wsp>
                      <wps:cNvCnPr/>
                      <wps:spPr>
                        <a:xfrm flipH="1">
                          <a:off x="0" y="0"/>
                          <a:ext cx="62179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26.55pt;margin-top:11.6pt;height:0pt;width:48.95pt;z-index:251677696;mso-width-relative:page;mso-height-relative:page;" filled="f" stroked="t" coordsize="21600,21600" o:gfxdata="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VSy3&#10;7NYAAAAJAQAADwAAAAAAAAABACAAAAA4AAAAZHJzL2Rvd25yZXYueG1sUEsBAhQAFAAAAAgAh07i&#10;QEA/fqDVAQAAbgMAAA4AAAAAAAAAAQAgAAAAOwEAAGRycy9lMm9Eb2MueG1sUEsFBgAAAAAGAAYA&#10;WQEAAIIFAAAAAA==&#10;">
                <v:fill on="f" focussize="0,0"/>
                <v:stroke weight="0.5pt" color="#4472C4 [3204]" miterlimit="8" joinstyle="miter"/>
                <v:imagedata o:title=""/>
                <o:lock v:ext="edit" aspectratio="f"/>
              </v:line>
            </w:pict>
          </mc:Fallback>
        </mc:AlternateContent>
      </w:r>
    </w:p>
    <w:p>
      <w:pPr>
        <w:spacing w:before="156" w:beforeLines="50" w:after="156" w:afterLines="50" w:line="140" w:lineRule="atLeast"/>
        <w:rPr>
          <w:rFonts w:cs="Times New Roman" w:asciiTheme="minorEastAsia" w:hAnsiTheme="minorEastAsia"/>
          <w:color w:val="000000" w:themeColor="text1"/>
          <w:sz w:val="24"/>
          <w14:textFill>
            <w14:solidFill>
              <w14:schemeClr w14:val="tx1"/>
            </w14:solidFill>
          </w14:textFill>
        </w:rPr>
      </w:pPr>
    </w:p>
    <w:p>
      <w:pPr>
        <w:spacing w:line="140" w:lineRule="atLeast"/>
        <w:rPr>
          <w:rFonts w:asciiTheme="minorEastAsia" w:hAnsiTheme="minorEastAsia"/>
          <w:b/>
          <w:bCs/>
          <w:color w:val="2E75B6" w:themeColor="accent5" w:themeShade="BF"/>
          <w:sz w:val="28"/>
          <w:szCs w:val="28"/>
        </w:rPr>
      </w:pPr>
      <w:r>
        <w:rPr>
          <w:rFonts w:hint="eastAsia" w:asciiTheme="minorEastAsia" w:hAnsiTheme="minorEastAsia"/>
          <w:b/>
          <w:bCs/>
          <w:color w:val="2E75B6" w:themeColor="accent5" w:themeShade="BF"/>
          <w:sz w:val="28"/>
          <w:szCs w:val="28"/>
        </w:rPr>
        <w:t>（二）</w:t>
      </w:r>
      <w:r>
        <w:rPr>
          <w:rFonts w:asciiTheme="minorEastAsia" w:hAnsiTheme="minorEastAsia"/>
          <w:b/>
          <w:bCs/>
          <w:color w:val="2E75B6" w:themeColor="accent5" w:themeShade="BF"/>
          <w:sz w:val="28"/>
          <w:szCs w:val="28"/>
        </w:rPr>
        <w:t>完善风险分担机制</w:t>
      </w:r>
    </w:p>
    <w:p>
      <w:pPr>
        <w:pStyle w:val="12"/>
        <w:numPr>
          <w:ilvl w:val="0"/>
          <w:numId w:val="1"/>
        </w:numPr>
        <w:spacing w:before="156" w:beforeLines="50" w:after="156" w:afterLines="50" w:line="140" w:lineRule="atLeast"/>
        <w:ind w:firstLineChars="0"/>
        <w:rPr>
          <w:rFonts w:cs="Times New Roman" w:asciiTheme="minorEastAsia" w:hAnsiTheme="minorEastAsia"/>
          <w:color w:val="000000" w:themeColor="text1"/>
          <w:sz w:val="24"/>
          <w:szCs w:val="24"/>
          <w14:textFill>
            <w14:solidFill>
              <w14:schemeClr w14:val="tx1"/>
            </w14:solidFill>
          </w14:textFill>
        </w:rPr>
      </w:pPr>
      <w:r>
        <w:rPr>
          <w:rFonts w:cs="Times New Roman" w:asciiTheme="minorEastAsia" w:hAnsiTheme="minorEastAsia"/>
          <w:color w:val="000000" w:themeColor="text1"/>
          <w:sz w:val="24"/>
          <w:szCs w:val="24"/>
          <w14:textFill>
            <w14:solidFill>
              <w14:schemeClr w14:val="tx1"/>
            </w14:solidFill>
          </w14:textFill>
        </w:rPr>
        <w:t>Improvement in risk sharing mechanism</w:t>
      </w:r>
    </w:p>
    <w:p>
      <w:pPr>
        <w:spacing w:before="156" w:beforeLines="50" w:after="156" w:afterLines="50" w:line="140" w:lineRule="atLeast"/>
        <w:ind w:firstLine="480" w:firstLineChars="200"/>
        <w:rPr>
          <w:rFonts w:cs="Times New Roman" w:asciiTheme="minorEastAsia" w:hAnsiTheme="minorEastAsia"/>
          <w:color w:val="000000" w:themeColor="text1"/>
          <w:sz w:val="24"/>
          <w14:textFill>
            <w14:solidFill>
              <w14:schemeClr w14:val="tx1"/>
            </w14:solidFill>
          </w14:textFill>
        </w:rPr>
      </w:pPr>
      <w:r>
        <w:rPr>
          <w:rFonts w:cs="Times New Roman" w:asciiTheme="minorEastAsia" w:hAnsiTheme="minorEastAsia"/>
          <w:color w:val="000000" w:themeColor="text1"/>
          <w:sz w:val="24"/>
          <w14:textFill>
            <w14:solidFill>
              <w14:schemeClr w14:val="tx1"/>
            </w14:solidFill>
          </w14:textFill>
        </w:rPr>
        <w:t>加强财政金融政策的联动，完善小微企业银行贷款损失代偿补偿制度，构建起“4222”风险分担机制，贷款损失由担保机构分担 40%、国家融担基金分担20%、市里的代偿补偿资金分担20%，银行承担 20%的贷款损失。</w:t>
      </w:r>
    </w:p>
    <w:p>
      <w:pPr>
        <w:spacing w:before="156" w:beforeLines="50" w:after="156" w:afterLines="50" w:line="140" w:lineRule="atLeast"/>
        <w:rPr>
          <w:rFonts w:cs="Times New Roman" w:asciiTheme="minorEastAsia" w:hAnsiTheme="minorEastAsia"/>
          <w:color w:val="000000" w:themeColor="text1"/>
          <w:sz w:val="22"/>
          <w:szCs w:val="22"/>
          <w14:textFill>
            <w14:solidFill>
              <w14:schemeClr w14:val="tx1"/>
            </w14:solidFill>
          </w14:textFill>
        </w:rPr>
      </w:pPr>
      <w:r>
        <w:rPr>
          <w:rFonts w:cs="Times New Roman" w:asciiTheme="minorEastAsia" w:hAnsiTheme="minorEastAsia"/>
          <w:color w:val="000000" w:themeColor="text1"/>
          <w:sz w:val="24"/>
          <w14:textFill>
            <w14:solidFill>
              <w14:schemeClr w14:val="tx1"/>
            </w14:solidFill>
          </w14:textFill>
        </w:rPr>
        <w:t>The collaboration of fiscal and financial policies will be strengthened. The substituted and compensatory system for loss of micro&amp;small enterprises' bank loan will be improved. And the “4222” risk sharing mechanism will be established, which means the guarantee agency assumes 40% of the loan loss, each of the National Financing Guarantee Fund</w:t>
      </w:r>
      <w:r>
        <w:rPr>
          <w:rFonts w:cs="Times New Roman" w:asciiTheme="minorEastAsia" w:hAnsiTheme="minorEastAsia"/>
          <w:color w:val="000000" w:themeColor="text1"/>
          <w:sz w:val="24"/>
          <w:lang w:bidi="ar"/>
          <w14:textFill>
            <w14:solidFill>
              <w14:schemeClr w14:val="tx1"/>
            </w14:solidFill>
          </w14:textFill>
        </w:rPr>
        <w:t>, Chongqing Municipal</w:t>
      </w:r>
      <w:r>
        <w:rPr>
          <w:rFonts w:cs="Times New Roman" w:asciiTheme="minorEastAsia" w:hAnsiTheme="minorEastAsia"/>
          <w:color w:val="000000" w:themeColor="text1"/>
          <w:sz w:val="24"/>
          <w14:textFill>
            <w14:solidFill>
              <w14:schemeClr w14:val="tx1"/>
            </w14:solidFill>
          </w14:textFill>
        </w:rPr>
        <w:t xml:space="preserve"> Substituted and Compensatory Fund and the bank bears 20% of the loan loss individually.</w:t>
      </w:r>
    </w:p>
    <w:p>
      <w:pPr>
        <w:spacing w:before="156" w:beforeLines="50" w:after="156" w:afterLines="50" w:line="140" w:lineRule="atLeast"/>
        <w:rPr>
          <w:rFonts w:cs="Times New Roman" w:asciiTheme="minorEastAsia" w:hAnsiTheme="minorEastAsia"/>
          <w:color w:val="000000" w:themeColor="text1"/>
          <w:sz w:val="22"/>
          <w:szCs w:val="22"/>
          <w14:textFill>
            <w14:solidFill>
              <w14:schemeClr w14:val="tx1"/>
            </w14:solidFill>
          </w14:textFill>
        </w:rPr>
      </w:pPr>
    </w:p>
    <w:p>
      <w:pPr>
        <w:spacing w:line="140" w:lineRule="atLeast"/>
        <w:rPr>
          <w:color w:val="FFFFFF" w:themeColor="background1"/>
          <w:sz w:val="32"/>
          <w:szCs w:val="32"/>
          <w:highlight w:val="blue"/>
          <w14:textFill>
            <w14:solidFill>
              <w14:schemeClr w14:val="bg1"/>
            </w14:solidFill>
          </w14:textFill>
        </w:rPr>
      </w:pPr>
      <w:r>
        <w:rPr>
          <w:color w:val="FFFFFF" w:themeColor="background1"/>
          <w:sz w:val="32"/>
          <w:szCs w:val="32"/>
          <w:highlight w:val="blue"/>
          <w14:textFill>
            <w14:solidFill>
              <w14:schemeClr w14:val="bg1"/>
            </w14:solidFill>
          </w14:textFill>
        </w:rPr>
        <w:t>五、强化信息公示</w:t>
      </w:r>
    </w:p>
    <w:p>
      <w:pPr>
        <w:spacing w:before="156" w:beforeLines="50" w:after="156" w:afterLines="50" w:line="140" w:lineRule="atLeast"/>
        <w:ind w:firstLine="480" w:firstLineChars="200"/>
        <w:rPr>
          <w:rStyle w:val="11"/>
          <w:rFonts w:cs="Times New Roman" w:asciiTheme="minorEastAsia" w:hAnsiTheme="minorEastAsia"/>
          <w:color w:val="auto"/>
          <w:sz w:val="24"/>
          <w:szCs w:val="24"/>
        </w:rPr>
      </w:pPr>
      <w:r>
        <w:rPr>
          <w:rFonts w:cs="Times New Roman" w:asciiTheme="minorEastAsia" w:hAnsiTheme="minorEastAsia"/>
          <w:sz w:val="24"/>
        </w:rPr>
        <w:t>V. To strengthen information publicity</w:t>
      </w:r>
    </w:p>
    <w:p>
      <w:pPr>
        <w:spacing w:before="156" w:beforeLines="50" w:after="156" w:afterLines="50" w:line="140" w:lineRule="atLeast"/>
        <w:rPr>
          <w:rFonts w:asciiTheme="minorEastAsia" w:hAnsiTheme="minorEastAsia"/>
          <w:b/>
          <w:bCs/>
          <w:color w:val="2E75B6" w:themeColor="accent5" w:themeShade="BF"/>
          <w:sz w:val="28"/>
          <w:szCs w:val="28"/>
        </w:rPr>
      </w:pPr>
      <w:r>
        <w:rPr>
          <w:rFonts w:asciiTheme="minorEastAsia" w:hAnsiTheme="minorEastAsia"/>
          <w:b/>
          <w:bCs/>
          <w:color w:val="2E75B6" w:themeColor="accent5" w:themeShade="BF"/>
          <w:sz w:val="28"/>
          <w:szCs w:val="28"/>
        </w:rPr>
        <w:t>（一）推动建立动产融资担保统一登记公示系统</w:t>
      </w:r>
    </w:p>
    <w:p>
      <w:pPr>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1. To promote establishing t</w:t>
      </w:r>
      <w:r>
        <w:rPr>
          <w:rFonts w:cs="Times New Roman" w:asciiTheme="minorEastAsia" w:hAnsiTheme="minorEastAsia"/>
          <w:sz w:val="24"/>
          <w:lang w:bidi="ar"/>
        </w:rPr>
        <w:t xml:space="preserve">he Unified Registration and Publicity System for Movables Financing </w:t>
      </w:r>
      <w:r>
        <w:rPr>
          <w:rFonts w:cs="Times New Roman" w:asciiTheme="minorEastAsia" w:hAnsiTheme="minorEastAsia"/>
          <w:sz w:val="24"/>
        </w:rPr>
        <w:t>Guarantees</w:t>
      </w:r>
    </w:p>
    <w:p>
      <w:pPr>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加强与人行重庆营管部、市市场监管局的沟通协调，及时做好相关情况跟踪和反馈，努力推动我市开展动产担保统一登记试点工作。</w:t>
      </w:r>
    </w:p>
    <w:p>
      <w:pPr>
        <w:adjustRightInd w:val="0"/>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The communication and coordination with</w:t>
      </w:r>
      <w:bookmarkStart w:id="3" w:name="_Hlk33735096"/>
      <w:r>
        <w:rPr>
          <w:rFonts w:cs="Times New Roman" w:asciiTheme="minorEastAsia" w:hAnsiTheme="minorEastAsia"/>
          <w:sz w:val="24"/>
        </w:rPr>
        <w:t xml:space="preserve"> Chongqing Operation Office</w:t>
      </w:r>
      <w:bookmarkEnd w:id="3"/>
      <w:r>
        <w:rPr>
          <w:rFonts w:cs="Times New Roman" w:asciiTheme="minorEastAsia" w:hAnsiTheme="minorEastAsia"/>
          <w:sz w:val="24"/>
        </w:rPr>
        <w:t xml:space="preserve"> of the People’s Bank of China and the Municipal Administration for Market Regulation will be strengthened, for timely completing follow-up and feedback on relevant situations, and working hard to promote the pilot program of the unified registration of movable guarantees in Chongqing.</w:t>
      </w:r>
    </w:p>
    <w:p>
      <w:pPr>
        <w:spacing w:before="156" w:beforeLines="50" w:after="156" w:afterLines="50" w:line="140" w:lineRule="atLeast"/>
        <w:rPr>
          <w:rFonts w:asciiTheme="minorEastAsia" w:hAnsiTheme="minorEastAsia"/>
          <w:b/>
          <w:bCs/>
          <w:color w:val="2E75B6" w:themeColor="accent5" w:themeShade="BF"/>
          <w:sz w:val="28"/>
          <w:szCs w:val="28"/>
        </w:rPr>
      </w:pPr>
      <w:r>
        <w:rPr>
          <w:rFonts w:asciiTheme="minorEastAsia" w:hAnsiTheme="minorEastAsia"/>
          <w:b/>
          <w:bCs/>
          <w:color w:val="2E75B6" w:themeColor="accent5" w:themeShade="BF"/>
          <w:sz w:val="28"/>
          <w:szCs w:val="28"/>
        </w:rPr>
        <w:t>（二）加强信用信息应用</w:t>
      </w:r>
    </w:p>
    <w:p>
      <w:pPr>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2. To strengthen the application of credit information</w:t>
      </w:r>
    </w:p>
    <w:p>
      <w:pPr>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在渝金融机构加快接入人民银行征信系统，发挥市公共信用平台和国家企业信用信息公示系统功能，推动守信联合激励和失信联合惩戒。</w:t>
      </w:r>
    </w:p>
    <w:p>
      <w:pPr>
        <w:spacing w:before="156" w:beforeLines="50" w:after="156" w:afterLines="50" w:line="140" w:lineRule="atLeast"/>
        <w:rPr>
          <w:rFonts w:cs="Times New Roman" w:asciiTheme="minorEastAsia" w:hAnsiTheme="minorEastAsia"/>
          <w:color w:val="000000" w:themeColor="text1"/>
          <w:sz w:val="22"/>
          <w:szCs w:val="22"/>
          <w14:textFill>
            <w14:solidFill>
              <w14:schemeClr w14:val="tx1"/>
            </w14:solidFill>
          </w14:textFill>
        </w:rPr>
      </w:pPr>
      <w:r>
        <w:rPr>
          <w:rFonts w:cs="Times New Roman" w:asciiTheme="minorEastAsia" w:hAnsiTheme="minorEastAsia"/>
          <w:sz w:val="24"/>
        </w:rPr>
        <w:t xml:space="preserve">Financial institutions in Chongqing will be promoted to speed up their access to the credit reference system of the People’s Bank of China, the </w:t>
      </w:r>
      <w:bookmarkStart w:id="4" w:name="_Hlk31189655"/>
      <w:r>
        <w:rPr>
          <w:rFonts w:cs="Times New Roman" w:asciiTheme="minorEastAsia" w:hAnsiTheme="minorEastAsia"/>
          <w:sz w:val="24"/>
        </w:rPr>
        <w:t>Municipal Public Credit Platform</w:t>
      </w:r>
      <w:bookmarkEnd w:id="4"/>
      <w:r>
        <w:rPr>
          <w:rFonts w:cs="Times New Roman" w:asciiTheme="minorEastAsia" w:hAnsiTheme="minorEastAsia"/>
          <w:sz w:val="24"/>
        </w:rPr>
        <w:t xml:space="preserve"> and the National Enterprise Credit Information Publication System </w:t>
      </w:r>
      <w:bookmarkStart w:id="5" w:name="_Hlk31189570"/>
      <w:r>
        <w:rPr>
          <w:rFonts w:cs="Times New Roman" w:asciiTheme="minorEastAsia" w:hAnsiTheme="minorEastAsia"/>
          <w:sz w:val="24"/>
        </w:rPr>
        <w:t xml:space="preserve">(Chongqing) </w:t>
      </w:r>
      <w:bookmarkEnd w:id="5"/>
      <w:r>
        <w:rPr>
          <w:rFonts w:cs="Times New Roman" w:asciiTheme="minorEastAsia" w:hAnsiTheme="minorEastAsia"/>
          <w:sz w:val="24"/>
        </w:rPr>
        <w:t xml:space="preserve">will be well-functioning, and </w:t>
      </w:r>
      <w:bookmarkStart w:id="6" w:name="_Hlk31189819"/>
      <w:r>
        <w:rPr>
          <w:rFonts w:cs="Times New Roman" w:asciiTheme="minorEastAsia" w:hAnsiTheme="minorEastAsia"/>
          <w:sz w:val="24"/>
        </w:rPr>
        <w:t>the joint incentives for being honest and joint punishment for being dishonest</w:t>
      </w:r>
      <w:bookmarkEnd w:id="6"/>
      <w:r>
        <w:rPr>
          <w:rFonts w:cs="Times New Roman" w:asciiTheme="minorEastAsia" w:hAnsiTheme="minorEastAsia"/>
          <w:sz w:val="24"/>
        </w:rPr>
        <w:t xml:space="preserve"> will be promoted. </w:t>
      </w:r>
    </w:p>
    <w:p>
      <w:pPr>
        <w:spacing w:before="156" w:beforeLines="50" w:after="156" w:afterLines="50" w:line="140" w:lineRule="atLeast"/>
        <w:rPr>
          <w:rFonts w:cs="Times New Roman" w:asciiTheme="minorEastAsia" w:hAnsiTheme="minorEastAsia"/>
          <w:color w:val="000000" w:themeColor="text1"/>
          <w:sz w:val="22"/>
          <w:szCs w:val="22"/>
          <w14:textFill>
            <w14:solidFill>
              <w14:schemeClr w14:val="tx1"/>
            </w14:solidFill>
          </w14:textFill>
        </w:rPr>
      </w:pPr>
    </w:p>
    <w:p>
      <w:pPr>
        <w:spacing w:line="140" w:lineRule="atLeast"/>
        <w:rPr>
          <w:color w:val="FFFFFF" w:themeColor="background1"/>
          <w:sz w:val="32"/>
          <w:szCs w:val="32"/>
          <w:highlight w:val="blue"/>
          <w14:textFill>
            <w14:solidFill>
              <w14:schemeClr w14:val="bg1"/>
            </w14:solidFill>
          </w14:textFill>
        </w:rPr>
      </w:pPr>
      <w:r>
        <w:rPr>
          <w:color w:val="FFFFFF" w:themeColor="background1"/>
          <w:sz w:val="32"/>
          <w:szCs w:val="32"/>
          <w:highlight w:val="blue"/>
          <w14:textFill>
            <w14:solidFill>
              <w14:schemeClr w14:val="bg1"/>
            </w14:solidFill>
          </w14:textFill>
        </w:rPr>
        <w:t>六、加强监督管理</w:t>
      </w:r>
    </w:p>
    <w:p>
      <w:pPr>
        <w:spacing w:before="156" w:beforeLines="50" w:after="156" w:afterLines="50" w:line="140" w:lineRule="atLeast"/>
        <w:rPr>
          <w:rFonts w:cs="Times New Roman" w:asciiTheme="minorEastAsia" w:hAnsiTheme="minorEastAsia"/>
          <w:color w:val="000000" w:themeColor="text1"/>
          <w:sz w:val="24"/>
          <w14:textFill>
            <w14:solidFill>
              <w14:schemeClr w14:val="tx1"/>
            </w14:solidFill>
          </w14:textFill>
        </w:rPr>
      </w:pPr>
      <w:r>
        <w:rPr>
          <w:rFonts w:cs="Times New Roman" w:asciiTheme="minorEastAsia" w:hAnsiTheme="minorEastAsia"/>
          <w:color w:val="000000" w:themeColor="text1"/>
          <w:sz w:val="24"/>
          <w14:textFill>
            <w14:solidFill>
              <w14:schemeClr w14:val="tx1"/>
            </w14:solidFill>
          </w14:textFill>
        </w:rPr>
        <w:t>VI．To intensify the supervision and management</w:t>
      </w:r>
    </w:p>
    <w:p>
      <w:pPr>
        <w:spacing w:before="156" w:beforeLines="50" w:after="156" w:afterLines="50" w:line="140" w:lineRule="atLeast"/>
        <w:rPr>
          <w:rFonts w:asciiTheme="minorEastAsia" w:hAnsiTheme="minorEastAsia"/>
          <w:b/>
          <w:bCs/>
          <w:color w:val="2E75B6" w:themeColor="accent5" w:themeShade="BF"/>
          <w:sz w:val="28"/>
          <w:szCs w:val="28"/>
        </w:rPr>
      </w:pPr>
      <w:r>
        <w:rPr>
          <w:rFonts w:asciiTheme="minorEastAsia" w:hAnsiTheme="minorEastAsia"/>
          <w:b/>
          <w:bCs/>
          <w:color w:val="2E75B6" w:themeColor="accent5" w:themeShade="BF"/>
          <w:sz w:val="28"/>
          <w:szCs w:val="28"/>
        </w:rPr>
        <w:t>（一）健全金融信贷容错机制</w:t>
      </w:r>
    </w:p>
    <w:p>
      <w:pPr>
        <w:adjustRightInd w:val="0"/>
        <w:spacing w:before="156" w:beforeLines="50" w:after="156" w:afterLines="50" w:line="140" w:lineRule="atLeast"/>
        <w:ind w:firstLine="480" w:firstLineChars="200"/>
        <w:rPr>
          <w:rFonts w:cs="Times New Roman" w:asciiTheme="minorEastAsia" w:hAnsiTheme="minorEastAsia"/>
          <w:bCs/>
          <w:sz w:val="24"/>
        </w:rPr>
      </w:pPr>
      <w:r>
        <w:rPr>
          <w:rFonts w:cs="Times New Roman" w:asciiTheme="minorEastAsia" w:hAnsiTheme="minorEastAsia"/>
          <w:sz w:val="24"/>
        </w:rPr>
        <w:t>1.</w:t>
      </w:r>
      <w:r>
        <w:rPr>
          <w:rFonts w:cs="Times New Roman" w:asciiTheme="minorEastAsia" w:hAnsiTheme="minorEastAsia"/>
          <w:b/>
          <w:bCs/>
          <w:sz w:val="24"/>
        </w:rPr>
        <w:t xml:space="preserve"> </w:t>
      </w:r>
      <w:r>
        <w:rPr>
          <w:rFonts w:cs="Times New Roman" w:asciiTheme="minorEastAsia" w:hAnsiTheme="minorEastAsia"/>
          <w:bCs/>
          <w:sz w:val="24"/>
        </w:rPr>
        <w:t>To improve financial credit fault tolerance mechanism</w:t>
      </w:r>
    </w:p>
    <w:p>
      <w:pPr>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健全完善小微企业贷款尽职免责机制，提高不良贷款考核容忍度。对部分总体风险水平偏高、但正在积极进行风险化解处置的法人机构，普惠型小微企业贷款的不良贷款容忍度从不高于各项贷款不良率 2 个百分点放宽至 3 个百分点。</w:t>
      </w:r>
    </w:p>
    <w:p>
      <w:pPr>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Due diligence and liability-exemption mechanism for micro&amp;small enterprise loans will be improved, so as to increase the tolerance of non-performing loan (NPL) assessments. To some legal person institutions with high risk while actively engaging in risk resolution, as well as inclusive micro&amp;small enterprises, the NPL tolerance will be relaxed from 2% to 3%, which is no higher than the non-performing loan ratio of various loans.</w:t>
      </w:r>
    </w:p>
    <w:p>
      <w:pPr>
        <w:spacing w:before="156" w:beforeLines="50" w:after="156" w:afterLines="50" w:line="140" w:lineRule="atLeast"/>
        <w:rPr>
          <w:rFonts w:asciiTheme="minorEastAsia" w:hAnsiTheme="minorEastAsia"/>
          <w:b/>
          <w:bCs/>
          <w:color w:val="2E75B6" w:themeColor="accent5" w:themeShade="BF"/>
          <w:sz w:val="28"/>
          <w:szCs w:val="28"/>
        </w:rPr>
      </w:pPr>
      <w:r>
        <w:rPr>
          <w:rFonts w:asciiTheme="minorEastAsia" w:hAnsiTheme="minorEastAsia"/>
          <w:b/>
          <w:bCs/>
          <w:color w:val="2E75B6" w:themeColor="accent5" w:themeShade="BF"/>
          <w:sz w:val="28"/>
          <w:szCs w:val="28"/>
        </w:rPr>
        <w:t>（二）妥善审理金融类纠纷案件</w:t>
      </w:r>
    </w:p>
    <w:p>
      <w:pPr>
        <w:adjustRightInd w:val="0"/>
        <w:spacing w:before="156" w:beforeLines="50" w:after="156" w:afterLines="50" w:line="140" w:lineRule="atLeast"/>
        <w:ind w:firstLine="600" w:firstLineChars="250"/>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color w:val="000000" w:themeColor="text1"/>
          <w:sz w:val="24"/>
          <w14:textFill>
            <w14:solidFill>
              <w14:schemeClr w14:val="tx1"/>
            </w14:solidFill>
          </w14:textFill>
        </w:rPr>
        <w:t xml:space="preserve">2. </w:t>
      </w:r>
      <w:r>
        <w:rPr>
          <w:rFonts w:cs="Times New Roman" w:asciiTheme="minorEastAsia" w:hAnsiTheme="minorEastAsia"/>
          <w:bCs/>
          <w:color w:val="000000" w:themeColor="text1"/>
          <w:sz w:val="24"/>
          <w14:textFill>
            <w14:solidFill>
              <w14:schemeClr w14:val="tx1"/>
            </w14:solidFill>
          </w14:textFill>
        </w:rPr>
        <w:t xml:space="preserve">To </w:t>
      </w:r>
      <w:r>
        <w:rPr>
          <w:rFonts w:hint="eastAsia" w:cs="Times New Roman" w:asciiTheme="minorEastAsia" w:hAnsiTheme="minorEastAsia"/>
          <w:bCs/>
          <w:color w:val="000000" w:themeColor="text1"/>
          <w:sz w:val="24"/>
          <w14:textFill>
            <w14:solidFill>
              <w14:schemeClr w14:val="tx1"/>
            </w14:solidFill>
          </w14:textFill>
        </w:rPr>
        <w:t xml:space="preserve">hear </w:t>
      </w:r>
      <w:r>
        <w:rPr>
          <w:rFonts w:cs="Times New Roman" w:asciiTheme="minorEastAsia" w:hAnsiTheme="minorEastAsia"/>
          <w:bCs/>
          <w:color w:val="000000" w:themeColor="text1"/>
          <w:sz w:val="24"/>
          <w14:textFill>
            <w14:solidFill>
              <w14:schemeClr w14:val="tx1"/>
            </w14:solidFill>
          </w14:textFill>
        </w:rPr>
        <w:t xml:space="preserve">financial </w:t>
      </w:r>
      <w:r>
        <w:rPr>
          <w:rFonts w:hint="eastAsia" w:cs="Times New Roman" w:asciiTheme="minorEastAsia" w:hAnsiTheme="minorEastAsia"/>
          <w:bCs/>
          <w:color w:val="000000" w:themeColor="text1"/>
          <w:sz w:val="24"/>
          <w14:textFill>
            <w14:solidFill>
              <w14:schemeClr w14:val="tx1"/>
            </w14:solidFill>
          </w14:textFill>
        </w:rPr>
        <w:t xml:space="preserve">cases </w:t>
      </w:r>
      <w:r>
        <w:rPr>
          <w:rFonts w:cs="Times New Roman" w:asciiTheme="minorEastAsia" w:hAnsiTheme="minorEastAsia"/>
          <w:bCs/>
          <w:color w:val="000000" w:themeColor="text1"/>
          <w:sz w:val="24"/>
          <w14:textFill>
            <w14:solidFill>
              <w14:schemeClr w14:val="tx1"/>
            </w14:solidFill>
          </w14:textFill>
        </w:rPr>
        <w:t>properly</w:t>
      </w:r>
    </w:p>
    <w:p>
      <w:pPr>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依法妥善审理各类金融纠纷案件，严格依法把握背离实体经济利润的过高利息边界，有效降低融资成本，引导和规范金融行为回归本源。</w:t>
      </w:r>
    </w:p>
    <w:p>
      <w:pPr>
        <w:adjustRightInd w:val="0"/>
        <w:spacing w:before="156" w:beforeLines="50" w:after="156" w:afterLines="50" w:line="140" w:lineRule="atLeast"/>
        <w:ind w:firstLine="480" w:firstLineChars="200"/>
        <w:rPr>
          <w:rFonts w:cs="Times New Roman" w:asciiTheme="minorEastAsia" w:hAnsiTheme="minorEastAsia"/>
          <w:sz w:val="24"/>
        </w:rPr>
      </w:pPr>
      <w:r>
        <w:rPr>
          <w:rFonts w:cs="Times New Roman" w:asciiTheme="minorEastAsia" w:hAnsiTheme="minorEastAsia"/>
          <w:sz w:val="24"/>
        </w:rPr>
        <w:t xml:space="preserve">Various financial cases will be properly </w:t>
      </w:r>
      <w:r>
        <w:rPr>
          <w:rFonts w:hint="eastAsia" w:cs="Times New Roman" w:asciiTheme="minorEastAsia" w:hAnsiTheme="minorEastAsia"/>
          <w:sz w:val="24"/>
        </w:rPr>
        <w:t xml:space="preserve">heard </w:t>
      </w:r>
      <w:r>
        <w:rPr>
          <w:rFonts w:cs="Times New Roman" w:asciiTheme="minorEastAsia" w:hAnsiTheme="minorEastAsia"/>
          <w:sz w:val="24"/>
        </w:rPr>
        <w:t xml:space="preserve">in accordance with the law. The limit of unreasonable interest rates deviating from the real economy should be clarified strictly and legally, so as to decrease the cost of financing effectively, </w:t>
      </w:r>
      <w:r>
        <w:rPr>
          <w:rFonts w:hint="eastAsia" w:cs="Times New Roman" w:asciiTheme="minorEastAsia" w:hAnsiTheme="minorEastAsia"/>
          <w:sz w:val="24"/>
        </w:rPr>
        <w:t>while</w:t>
      </w:r>
      <w:r>
        <w:rPr>
          <w:rFonts w:cs="Times New Roman" w:asciiTheme="minorEastAsia" w:hAnsiTheme="minorEastAsia"/>
          <w:sz w:val="24"/>
        </w:rPr>
        <w:t xml:space="preserve"> regulating and guiding financial behaviors back to its ori</w:t>
      </w:r>
      <w:r>
        <w:rPr>
          <w:rFonts w:hint="eastAsia" w:cs="Times New Roman" w:asciiTheme="minorEastAsia" w:hAnsiTheme="minorEastAsia"/>
          <w:sz w:val="24"/>
        </w:rPr>
        <w:t>ginal</w:t>
      </w:r>
      <w:r>
        <w:rPr>
          <w:rFonts w:cs="Times New Roman" w:asciiTheme="minorEastAsia" w:hAnsiTheme="minorEastAsia"/>
          <w:sz w:val="24"/>
        </w:rPr>
        <w:t xml:space="preserve"> </w:t>
      </w:r>
      <w:r>
        <w:rPr>
          <w:rFonts w:hint="eastAsia" w:cs="Times New Roman" w:asciiTheme="minorEastAsia" w:hAnsiTheme="minorEastAsia"/>
          <w:sz w:val="24"/>
        </w:rPr>
        <w:t>intention</w:t>
      </w:r>
      <w:r>
        <w:rPr>
          <w:rFonts w:cs="Times New Roman" w:asciiTheme="minorEastAsia" w:hAnsiTheme="minorEastAsia"/>
          <w:sz w:val="24"/>
        </w:rPr>
        <w:t>.</w:t>
      </w:r>
    </w:p>
    <w:p>
      <w:pPr>
        <w:spacing w:line="140" w:lineRule="atLeast"/>
        <w:jc w:val="left"/>
        <w:rPr>
          <w:rFonts w:asciiTheme="minorEastAsia" w:hAnsiTheme="minorEastAsia"/>
          <w:sz w:val="32"/>
          <w:szCs w:val="32"/>
        </w:rPr>
      </w:pPr>
    </w:p>
    <w:p>
      <w:pPr>
        <w:spacing w:line="140" w:lineRule="atLeast"/>
        <w:ind w:firstLine="2801" w:firstLineChars="700"/>
        <w:rPr>
          <w:rFonts w:asciiTheme="minorEastAsia" w:hAnsiTheme="minorEastAsia"/>
          <w:b/>
          <w:bCs/>
          <w:color w:val="FFFFFF" w:themeColor="background1"/>
          <w:sz w:val="40"/>
          <w:szCs w:val="40"/>
          <w:highlight w:val="blue"/>
          <w14:textFill>
            <w14:solidFill>
              <w14:schemeClr w14:val="bg1"/>
            </w14:solidFill>
          </w14:textFill>
        </w:rPr>
      </w:pPr>
      <w:r>
        <w:rPr>
          <w:rFonts w:hint="eastAsia" w:asciiTheme="minorEastAsia" w:hAnsiTheme="minorEastAsia"/>
          <w:b/>
          <w:bCs/>
          <w:color w:val="FFFFFF" w:themeColor="background1"/>
          <w:sz w:val="40"/>
          <w:szCs w:val="40"/>
          <w:highlight w:val="blue"/>
          <w14:textFill>
            <w14:solidFill>
              <w14:schemeClr w14:val="bg1"/>
            </w14:solidFill>
          </w14:textFill>
        </w:rPr>
        <w:t>金融改革成效</w:t>
      </w:r>
    </w:p>
    <w:p>
      <w:pPr>
        <w:spacing w:line="140" w:lineRule="atLeast"/>
        <w:ind w:firstLine="2400" w:firstLineChars="1000"/>
        <w:jc w:val="left"/>
        <w:rPr>
          <w:rFonts w:asciiTheme="minorEastAsia" w:hAnsiTheme="minorEastAsia"/>
          <w:sz w:val="24"/>
        </w:rPr>
      </w:pPr>
      <w:r>
        <w:rPr>
          <w:rFonts w:asciiTheme="minorEastAsia" w:hAnsiTheme="minorEastAsia"/>
          <w:sz w:val="24"/>
        </w:rPr>
        <w:t>T</w:t>
      </w:r>
      <w:r>
        <w:rPr>
          <w:rFonts w:hint="eastAsia" w:asciiTheme="minorEastAsia" w:hAnsiTheme="minorEastAsia"/>
          <w:sz w:val="24"/>
        </w:rPr>
        <w:t xml:space="preserve">he </w:t>
      </w:r>
      <w:r>
        <w:rPr>
          <w:rFonts w:asciiTheme="minorEastAsia" w:hAnsiTheme="minorEastAsia"/>
          <w:sz w:val="24"/>
        </w:rPr>
        <w:t>E</w:t>
      </w:r>
      <w:r>
        <w:rPr>
          <w:rFonts w:hint="eastAsia" w:asciiTheme="minorEastAsia" w:hAnsiTheme="minorEastAsia"/>
          <w:sz w:val="24"/>
        </w:rPr>
        <w:t>ffects of</w:t>
      </w:r>
      <w:r>
        <w:rPr>
          <w:rFonts w:asciiTheme="minorEastAsia" w:hAnsiTheme="minorEastAsia"/>
          <w:sz w:val="24"/>
        </w:rPr>
        <w:t xml:space="preserve"> F</w:t>
      </w:r>
      <w:r>
        <w:rPr>
          <w:rFonts w:hint="eastAsia" w:asciiTheme="minorEastAsia" w:hAnsiTheme="minorEastAsia"/>
          <w:sz w:val="24"/>
        </w:rPr>
        <w:t>inancial</w:t>
      </w:r>
      <w:r>
        <w:rPr>
          <w:rFonts w:asciiTheme="minorEastAsia" w:hAnsiTheme="minorEastAsia"/>
          <w:sz w:val="24"/>
        </w:rPr>
        <w:t xml:space="preserve"> R</w:t>
      </w:r>
      <w:r>
        <w:rPr>
          <w:rFonts w:hint="eastAsia" w:asciiTheme="minorEastAsia" w:hAnsiTheme="minorEastAsia"/>
          <w:sz w:val="24"/>
        </w:rPr>
        <w:t>eform</w:t>
      </w:r>
    </w:p>
    <w:p>
      <w:pPr>
        <w:spacing w:line="140" w:lineRule="atLeast"/>
        <w:ind w:firstLine="640" w:firstLineChars="200"/>
        <w:jc w:val="left"/>
        <w:rPr>
          <w:rFonts w:asciiTheme="minorEastAsia" w:hAnsiTheme="minorEastAsia"/>
          <w:sz w:val="24"/>
        </w:rPr>
      </w:pPr>
      <w:r>
        <w:rPr>
          <w:rFonts w:hint="eastAsia"/>
          <w:color w:val="FFFFFF" w:themeColor="background1"/>
          <w:sz w:val="32"/>
          <w:szCs w:val="32"/>
          <w:highlight w:val="blue"/>
          <w14:textFill>
            <w14:solidFill>
              <w14:schemeClr w14:val="bg1"/>
            </w14:solidFill>
          </w14:textFill>
        </w:rPr>
        <w:t>案例一：“银税互动”</w:t>
      </w:r>
    </w:p>
    <w:p>
      <w:pPr>
        <w:spacing w:line="140" w:lineRule="atLeast"/>
        <w:ind w:firstLine="480" w:firstLineChars="200"/>
        <w:jc w:val="left"/>
        <w:rPr>
          <w:rFonts w:asciiTheme="minorEastAsia" w:hAnsiTheme="minorEastAsia"/>
          <w:sz w:val="24"/>
        </w:rPr>
      </w:pPr>
      <w:r>
        <w:rPr>
          <w:rFonts w:asciiTheme="minorEastAsia" w:hAnsiTheme="minorEastAsia"/>
          <w:sz w:val="24"/>
        </w:rPr>
        <w:t>C</w:t>
      </w:r>
      <w:r>
        <w:rPr>
          <w:rFonts w:hint="eastAsia" w:asciiTheme="minorEastAsia" w:hAnsiTheme="minorEastAsia"/>
          <w:sz w:val="24"/>
        </w:rPr>
        <w:t>ase</w:t>
      </w:r>
      <w:r>
        <w:rPr>
          <w:rFonts w:asciiTheme="minorEastAsia" w:hAnsiTheme="minorEastAsia"/>
          <w:sz w:val="24"/>
        </w:rPr>
        <w:t xml:space="preserve"> 1</w:t>
      </w:r>
      <w:r>
        <w:rPr>
          <w:rFonts w:hint="eastAsia" w:asciiTheme="minorEastAsia" w:hAnsiTheme="minorEastAsia"/>
          <w:sz w:val="24"/>
        </w:rPr>
        <w:t>:</w:t>
      </w:r>
      <w:r>
        <w:rPr>
          <w:rFonts w:asciiTheme="minorEastAsia" w:hAnsiTheme="minorEastAsia"/>
          <w:sz w:val="24"/>
        </w:rPr>
        <w:t xml:space="preserve"> Bank-Tax Interaction</w:t>
      </w:r>
    </w:p>
    <w:p>
      <w:pPr>
        <w:spacing w:line="140" w:lineRule="atLeast"/>
        <w:ind w:firstLine="480" w:firstLineChars="200"/>
        <w:jc w:val="left"/>
        <w:rPr>
          <w:rFonts w:asciiTheme="minorEastAsia" w:hAnsiTheme="minorEastAsia"/>
          <w:sz w:val="24"/>
        </w:rPr>
      </w:pPr>
      <w:r>
        <w:rPr>
          <w:rFonts w:hint="eastAsia" w:asciiTheme="minorEastAsia" w:hAnsiTheme="minorEastAsia"/>
          <w:sz w:val="24"/>
        </w:rPr>
        <w:t>2019年重庆银税互动项目各家银行授信户数10.9万户，授信金额330.8亿元，有贷户数 5.4 万户，贷款余额为 151.5 亿元；2019 年累计投放14.3万笔，累计投放金额 237.8 亿元。</w:t>
      </w:r>
    </w:p>
    <w:p>
      <w:pPr>
        <w:spacing w:line="140" w:lineRule="atLeast"/>
        <w:ind w:firstLine="480" w:firstLineChars="200"/>
        <w:jc w:val="left"/>
        <w:rPr>
          <w:rFonts w:cs="Times New Roman" w:asciiTheme="minorEastAsia" w:hAnsiTheme="minorEastAsia"/>
          <w:sz w:val="24"/>
        </w:rPr>
      </w:pPr>
      <w:r>
        <w:rPr>
          <w:rFonts w:cs="Times New Roman" w:asciiTheme="minorEastAsia" w:hAnsiTheme="minorEastAsia"/>
          <w:sz w:val="24"/>
        </w:rPr>
        <w:t>In 2019, all banks involved in the Chongqing Tax-Bank Interaction Project granted credit of 33.08 billion yuan to 109,000 enterprises, among which 54,000 had loans, and the loan balance</w:t>
      </w:r>
      <w:r>
        <w:rPr>
          <w:rFonts w:hint="eastAsia" w:cs="Times New Roman" w:asciiTheme="minorEastAsia" w:hAnsiTheme="minorEastAsia"/>
          <w:sz w:val="24"/>
        </w:rPr>
        <w:t xml:space="preserve"> </w:t>
      </w:r>
      <w:r>
        <w:rPr>
          <w:rFonts w:cs="Times New Roman" w:asciiTheme="minorEastAsia" w:hAnsiTheme="minorEastAsia"/>
          <w:sz w:val="24"/>
        </w:rPr>
        <w:t xml:space="preserve">has reached 15,15 billion yuan. In 2019, a total of 143,000 </w:t>
      </w:r>
      <w:r>
        <w:rPr>
          <w:rFonts w:hint="eastAsia" w:cs="Times New Roman" w:asciiTheme="minorEastAsia" w:hAnsiTheme="minorEastAsia"/>
          <w:sz w:val="24"/>
        </w:rPr>
        <w:t xml:space="preserve">loans have been </w:t>
      </w:r>
      <w:r>
        <w:rPr>
          <w:rFonts w:cs="Times New Roman" w:asciiTheme="minorEastAsia" w:hAnsiTheme="minorEastAsia"/>
          <w:sz w:val="24"/>
        </w:rPr>
        <w:t>granted, with the total amount of 23.78 billion yuan</w:t>
      </w:r>
      <w:r>
        <w:rPr>
          <w:rFonts w:hint="eastAsia" w:cs="Times New Roman" w:asciiTheme="minorEastAsia" w:hAnsiTheme="minorEastAsia"/>
          <w:sz w:val="24"/>
        </w:rPr>
        <w:t>.</w:t>
      </w:r>
    </w:p>
    <w:p>
      <w:pPr>
        <w:spacing w:line="140" w:lineRule="atLeast"/>
        <w:jc w:val="left"/>
        <w:rPr>
          <w:rFonts w:asciiTheme="minorEastAsia" w:hAnsiTheme="minorEastAsia"/>
          <w:sz w:val="24"/>
        </w:rPr>
      </w:pPr>
      <w:r>
        <w:drawing>
          <wp:inline distT="0" distB="0" distL="0" distR="0">
            <wp:extent cx="5274310" cy="15170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1517015"/>
                    </a:xfrm>
                    <a:prstGeom prst="rect">
                      <a:avLst/>
                    </a:prstGeom>
                    <a:noFill/>
                    <a:ln>
                      <a:noFill/>
                    </a:ln>
                  </pic:spPr>
                </pic:pic>
              </a:graphicData>
            </a:graphic>
          </wp:inline>
        </w:drawing>
      </w:r>
    </w:p>
    <w:p>
      <w:pPr>
        <w:spacing w:line="140" w:lineRule="atLeast"/>
        <w:jc w:val="left"/>
        <w:rPr>
          <w:rFonts w:asciiTheme="minorEastAsia" w:hAnsiTheme="minorEastAsia"/>
          <w:sz w:val="22"/>
          <w:szCs w:val="22"/>
        </w:rPr>
      </w:pPr>
      <w:bookmarkStart w:id="7" w:name="_Hlk33729773"/>
      <w:r>
        <w:rPr>
          <w:rFonts w:hint="eastAsia" w:asciiTheme="minorEastAsia" w:hAnsiTheme="minorEastAsia"/>
          <w:sz w:val="22"/>
          <w:szCs w:val="22"/>
        </w:rPr>
        <w:t>步骤一：小微企业（个体工商户）通过银税互动服务平台向银行提交贷款申请。</w:t>
      </w:r>
    </w:p>
    <w:p>
      <w:pPr>
        <w:spacing w:line="140" w:lineRule="atLeast"/>
        <w:jc w:val="left"/>
        <w:rPr>
          <w:rFonts w:asciiTheme="minorEastAsia" w:hAnsiTheme="minorEastAsia"/>
          <w:sz w:val="22"/>
          <w:szCs w:val="22"/>
        </w:rPr>
      </w:pPr>
      <w:r>
        <w:rPr>
          <w:rFonts w:asciiTheme="minorEastAsia" w:hAnsiTheme="minorEastAsia"/>
          <w:sz w:val="22"/>
          <w:szCs w:val="22"/>
        </w:rPr>
        <w:t>Step 1: Micro&amp;small enterprises (individual businesses) submit loan applications to the bank through the bank-tax interactive service platform.</w:t>
      </w:r>
    </w:p>
    <w:p>
      <w:pPr>
        <w:spacing w:line="140" w:lineRule="atLeast"/>
        <w:jc w:val="left"/>
        <w:rPr>
          <w:rFonts w:asciiTheme="minorEastAsia" w:hAnsiTheme="minorEastAsia"/>
          <w:sz w:val="22"/>
          <w:szCs w:val="22"/>
        </w:rPr>
      </w:pPr>
      <w:r>
        <w:rPr>
          <w:rFonts w:hint="eastAsia" w:asciiTheme="minorEastAsia" w:hAnsiTheme="minorEastAsia"/>
          <w:sz w:val="22"/>
          <w:szCs w:val="22"/>
        </w:rPr>
        <w:t>步骤二：企业在银税互动平台上一键授权，银行获得授权，查询企业纳税信用记录</w:t>
      </w:r>
    </w:p>
    <w:p>
      <w:pPr>
        <w:spacing w:line="140" w:lineRule="atLeast"/>
        <w:jc w:val="left"/>
        <w:rPr>
          <w:rFonts w:asciiTheme="minorEastAsia" w:hAnsiTheme="minorEastAsia"/>
          <w:sz w:val="22"/>
          <w:szCs w:val="22"/>
        </w:rPr>
      </w:pPr>
      <w:r>
        <w:rPr>
          <w:rFonts w:asciiTheme="minorEastAsia" w:hAnsiTheme="minorEastAsia"/>
          <w:sz w:val="22"/>
          <w:szCs w:val="22"/>
        </w:rPr>
        <w:t>Step 2: On the bank-tax interactive platform, enterprises authorize banks to inquire its tax credit records with a single click.</w:t>
      </w:r>
    </w:p>
    <w:p>
      <w:pPr>
        <w:spacing w:line="140" w:lineRule="atLeast"/>
        <w:jc w:val="left"/>
        <w:rPr>
          <w:rFonts w:asciiTheme="minorEastAsia" w:hAnsiTheme="minorEastAsia"/>
          <w:sz w:val="22"/>
          <w:szCs w:val="22"/>
        </w:rPr>
      </w:pPr>
      <w:r>
        <w:rPr>
          <w:rFonts w:hint="eastAsia" w:asciiTheme="minorEastAsia" w:hAnsiTheme="minorEastAsia"/>
          <w:sz w:val="22"/>
          <w:szCs w:val="22"/>
        </w:rPr>
        <w:t>步骤三：银行在线审批，高效快捷</w:t>
      </w:r>
    </w:p>
    <w:p>
      <w:pPr>
        <w:spacing w:line="140" w:lineRule="atLeast"/>
        <w:jc w:val="left"/>
        <w:rPr>
          <w:rFonts w:asciiTheme="minorEastAsia" w:hAnsiTheme="minorEastAsia"/>
          <w:sz w:val="22"/>
          <w:szCs w:val="22"/>
        </w:rPr>
      </w:pPr>
      <w:r>
        <w:rPr>
          <w:rFonts w:asciiTheme="minorEastAsia" w:hAnsiTheme="minorEastAsia"/>
          <w:sz w:val="22"/>
          <w:szCs w:val="22"/>
        </w:rPr>
        <w:t>Step 3:</w:t>
      </w:r>
      <w:r>
        <w:rPr>
          <w:sz w:val="20"/>
          <w:szCs w:val="22"/>
        </w:rPr>
        <w:t xml:space="preserve"> Banks’ </w:t>
      </w:r>
      <w:r>
        <w:rPr>
          <w:rFonts w:hint="eastAsia" w:asciiTheme="minorEastAsia" w:hAnsiTheme="minorEastAsia"/>
          <w:sz w:val="22"/>
          <w:szCs w:val="22"/>
        </w:rPr>
        <w:t>o</w:t>
      </w:r>
      <w:r>
        <w:rPr>
          <w:rFonts w:asciiTheme="minorEastAsia" w:hAnsiTheme="minorEastAsia"/>
          <w:sz w:val="22"/>
          <w:szCs w:val="22"/>
        </w:rPr>
        <w:t>nline approval, efficient and fast.</w:t>
      </w:r>
    </w:p>
    <w:p>
      <w:pPr>
        <w:spacing w:line="140" w:lineRule="atLeast"/>
        <w:jc w:val="left"/>
        <w:rPr>
          <w:rFonts w:asciiTheme="minorEastAsia" w:hAnsiTheme="minorEastAsia"/>
          <w:sz w:val="22"/>
          <w:szCs w:val="22"/>
        </w:rPr>
      </w:pPr>
      <w:r>
        <w:rPr>
          <w:rFonts w:hint="eastAsia" w:asciiTheme="minorEastAsia" w:hAnsiTheme="minorEastAsia"/>
          <w:sz w:val="22"/>
          <w:szCs w:val="22"/>
        </w:rPr>
        <w:t>步骤四：银行快速放款</w:t>
      </w:r>
    </w:p>
    <w:p>
      <w:pPr>
        <w:spacing w:line="140" w:lineRule="atLeast"/>
        <w:jc w:val="left"/>
        <w:rPr>
          <w:rFonts w:asciiTheme="minorEastAsia" w:hAnsiTheme="minorEastAsia"/>
          <w:sz w:val="22"/>
          <w:szCs w:val="22"/>
        </w:rPr>
      </w:pPr>
      <w:r>
        <w:rPr>
          <w:rFonts w:asciiTheme="minorEastAsia" w:hAnsiTheme="minorEastAsia"/>
          <w:sz w:val="22"/>
          <w:szCs w:val="22"/>
        </w:rPr>
        <w:t xml:space="preserve">Step 4: Fast </w:t>
      </w:r>
      <w:r>
        <w:rPr>
          <w:rFonts w:hint="eastAsia" w:asciiTheme="minorEastAsia" w:hAnsiTheme="minorEastAsia"/>
          <w:sz w:val="22"/>
          <w:szCs w:val="22"/>
        </w:rPr>
        <w:t>lending</w:t>
      </w:r>
      <w:r>
        <w:rPr>
          <w:rFonts w:asciiTheme="minorEastAsia" w:hAnsiTheme="minorEastAsia"/>
          <w:sz w:val="22"/>
          <w:szCs w:val="22"/>
        </w:rPr>
        <w:t xml:space="preserve"> by </w:t>
      </w:r>
      <w:r>
        <w:rPr>
          <w:rFonts w:hint="eastAsia" w:asciiTheme="minorEastAsia" w:hAnsiTheme="minorEastAsia"/>
          <w:sz w:val="22"/>
          <w:szCs w:val="22"/>
        </w:rPr>
        <w:t>b</w:t>
      </w:r>
      <w:r>
        <w:rPr>
          <w:rFonts w:asciiTheme="minorEastAsia" w:hAnsiTheme="minorEastAsia"/>
          <w:sz w:val="22"/>
          <w:szCs w:val="22"/>
        </w:rPr>
        <w:t xml:space="preserve">anks </w:t>
      </w:r>
    </w:p>
    <w:p>
      <w:pPr>
        <w:spacing w:line="140" w:lineRule="atLeast"/>
        <w:ind w:firstLine="640" w:firstLineChars="200"/>
        <w:rPr>
          <w:color w:val="FFFFFF" w:themeColor="background1"/>
          <w:sz w:val="32"/>
          <w:szCs w:val="32"/>
          <w14:textFill>
            <w14:solidFill>
              <w14:schemeClr w14:val="bg1"/>
            </w14:solidFill>
          </w14:textFill>
        </w:rPr>
      </w:pPr>
      <w:r>
        <w:rPr>
          <w:rFonts w:hint="eastAsia"/>
          <w:color w:val="FFFFFF" w:themeColor="background1"/>
          <w:sz w:val="32"/>
          <w:szCs w:val="32"/>
          <w:highlight w:val="blue"/>
          <w14:textFill>
            <w14:solidFill>
              <w14:schemeClr w14:val="bg1"/>
            </w14:solidFill>
          </w14:textFill>
        </w:rPr>
        <w:t>案例二：金融信用信息基础数据库</w:t>
      </w:r>
    </w:p>
    <w:p>
      <w:pPr>
        <w:spacing w:line="140" w:lineRule="atLeast"/>
        <w:ind w:firstLine="480" w:firstLineChars="200"/>
        <w:rPr>
          <w:color w:val="FFFFFF" w:themeColor="background1"/>
          <w:sz w:val="32"/>
          <w:szCs w:val="32"/>
          <w:highlight w:val="blue"/>
          <w14:textFill>
            <w14:solidFill>
              <w14:schemeClr w14:val="bg1"/>
            </w14:solidFill>
          </w14:textFill>
        </w:rPr>
      </w:pPr>
      <w:r>
        <w:rPr>
          <w:rFonts w:cs="Times New Roman" w:asciiTheme="minorEastAsia" w:hAnsiTheme="minorEastAsia"/>
          <w:sz w:val="24"/>
        </w:rPr>
        <w:t xml:space="preserve">Case 2: Basic Database of Financial Credit Information </w:t>
      </w:r>
    </w:p>
    <w:p>
      <w:pPr>
        <w:spacing w:line="140" w:lineRule="atLeast"/>
        <w:ind w:firstLine="480" w:firstLineChars="200"/>
        <w:jc w:val="left"/>
        <w:rPr>
          <w:rFonts w:asciiTheme="minorEastAsia" w:hAnsiTheme="minorEastAsia"/>
          <w:sz w:val="24"/>
        </w:rPr>
      </w:pPr>
      <w:r>
        <w:rPr>
          <w:rFonts w:hint="eastAsia" w:asciiTheme="minorEastAsia" w:hAnsiTheme="minorEastAsia"/>
          <w:sz w:val="24"/>
        </w:rPr>
        <w:t>截至2019年底，征信系统已经收录10.2亿自然人信息、2834.1万户企业及其他组织信息。2019年，个人和企业年度征信查询量分别达到24亿次和1.1亿次。2019年，应收账款融资服务平台新增融资164.4万笔，金额近4万亿元。平台促成的小微企业融资 利率平均为5.72%，较平台上线之初降低了1.18个百分点。累计实现动产融资登记业务541.9万笔，查询业务3434.4万笔。人行重庆营管部持续开展信用报告自助查询网点建设，全市共部署144台自助查询机，便利广大社会民众查询个人征信。</w:t>
      </w:r>
    </w:p>
    <w:p>
      <w:pPr>
        <w:spacing w:line="140" w:lineRule="atLeast"/>
        <w:ind w:firstLine="480" w:firstLineChars="200"/>
        <w:rPr>
          <w:rFonts w:cs="Times New Roman" w:asciiTheme="minorEastAsia" w:hAnsiTheme="minorEastAsia"/>
          <w:sz w:val="24"/>
        </w:rPr>
      </w:pPr>
      <w:r>
        <w:rPr>
          <w:rFonts w:cs="Times New Roman" w:asciiTheme="minorEastAsia" w:hAnsiTheme="minorEastAsia"/>
          <w:sz w:val="24"/>
        </w:rPr>
        <w:t>By the end of 2019, the credit information system ha</w:t>
      </w:r>
      <w:r>
        <w:rPr>
          <w:rFonts w:hint="eastAsia" w:cs="Times New Roman" w:asciiTheme="minorEastAsia" w:hAnsiTheme="minorEastAsia"/>
          <w:sz w:val="24"/>
        </w:rPr>
        <w:t>s</w:t>
      </w:r>
      <w:r>
        <w:rPr>
          <w:rFonts w:cs="Times New Roman" w:asciiTheme="minorEastAsia" w:hAnsiTheme="minorEastAsia"/>
          <w:sz w:val="24"/>
        </w:rPr>
        <w:t xml:space="preserve"> </w:t>
      </w:r>
      <w:r>
        <w:rPr>
          <w:rFonts w:hint="eastAsia" w:cs="Times New Roman" w:asciiTheme="minorEastAsia" w:hAnsiTheme="minorEastAsia"/>
          <w:sz w:val="24"/>
        </w:rPr>
        <w:t>collected</w:t>
      </w:r>
      <w:r>
        <w:rPr>
          <w:rFonts w:cs="Times New Roman" w:asciiTheme="minorEastAsia" w:hAnsiTheme="minorEastAsia"/>
          <w:sz w:val="24"/>
        </w:rPr>
        <w:t xml:space="preserve"> the information</w:t>
      </w:r>
      <w:r>
        <w:rPr>
          <w:rFonts w:hint="eastAsia" w:cs="Times New Roman" w:asciiTheme="minorEastAsia" w:hAnsiTheme="minorEastAsia"/>
          <w:sz w:val="24"/>
        </w:rPr>
        <w:t xml:space="preserve"> </w:t>
      </w:r>
      <w:r>
        <w:rPr>
          <w:rFonts w:cs="Times New Roman" w:asciiTheme="minorEastAsia" w:hAnsiTheme="minorEastAsia"/>
          <w:sz w:val="24"/>
        </w:rPr>
        <w:t xml:space="preserve">of 1.02 billion natural persons, 28.341 million enterprises and other organizations. In 2019, the number of individual and enterprise annual credit inquiries reached 2.4 billion and 110 million respectively. In 2019, the newly incremental financing number on the Receivable Financing Service Platform was 1.644 million, and total amount is nearly 4 trillion yuan. The average rate of interest of </w:t>
      </w:r>
      <w:r>
        <w:rPr>
          <w:rFonts w:hint="eastAsia" w:cs="Times New Roman" w:asciiTheme="minorEastAsia" w:hAnsiTheme="minorEastAsia"/>
          <w:sz w:val="24"/>
        </w:rPr>
        <w:t>m</w:t>
      </w:r>
      <w:r>
        <w:rPr>
          <w:rFonts w:cs="Times New Roman" w:asciiTheme="minorEastAsia" w:hAnsiTheme="minorEastAsia"/>
          <w:sz w:val="24"/>
        </w:rPr>
        <w:t>icro&amp;small enterprises’ financing on the platform was 5.72%, 1.18 percentage points lower than that at the launch of the platform. In total, 5.419 million movable property financing registrations and 34.344 million inquiries have been realized.</w:t>
      </w:r>
      <w:r>
        <w:rPr>
          <w:rFonts w:hint="eastAsia" w:cs="Times New Roman" w:asciiTheme="minorEastAsia" w:hAnsiTheme="minorEastAsia"/>
          <w:sz w:val="24"/>
        </w:rPr>
        <w:t xml:space="preserve"> </w:t>
      </w:r>
      <w:r>
        <w:rPr>
          <w:rFonts w:cs="Times New Roman" w:asciiTheme="minorEastAsia" w:hAnsiTheme="minorEastAsia"/>
          <w:sz w:val="24"/>
        </w:rPr>
        <w:t>Chongqing Operation Office of the People’s Bank of China continued establishing self-service inquiry outlets of credit reports. A total of 144 self-service enquiry machines were deployed in Chongqing to make it convenient for general public to inquire personal credit.</w:t>
      </w:r>
      <w:bookmarkEnd w:id="7"/>
    </w:p>
    <w:p>
      <w:pPr>
        <w:spacing w:line="140" w:lineRule="atLeast"/>
        <w:jc w:val="left"/>
        <w:rPr>
          <w:rFonts w:asciiTheme="minorEastAsia" w:hAnsiTheme="minorEastAsia"/>
          <w:sz w:val="22"/>
          <w:szCs w:val="22"/>
        </w:rPr>
      </w:pPr>
    </w:p>
    <w:p>
      <w:pPr>
        <w:spacing w:line="140" w:lineRule="atLeast"/>
        <w:jc w:val="left"/>
        <w:rPr>
          <w:rFonts w:asciiTheme="minorEastAsia" w:hAnsiTheme="minorEastAsia"/>
          <w:sz w:val="22"/>
          <w:szCs w:val="22"/>
        </w:rPr>
      </w:pPr>
    </w:p>
    <w:p>
      <w:pPr>
        <w:spacing w:line="140" w:lineRule="atLeast"/>
        <w:ind w:firstLine="640" w:firstLineChars="200"/>
        <w:rPr>
          <w:color w:val="FFFFFF" w:themeColor="background1"/>
          <w:sz w:val="32"/>
          <w:szCs w:val="32"/>
          <w:highlight w:val="blue"/>
          <w14:textFill>
            <w14:solidFill>
              <w14:schemeClr w14:val="bg1"/>
            </w14:solidFill>
          </w14:textFill>
        </w:rPr>
      </w:pPr>
      <w:r>
        <w:rPr>
          <w:rFonts w:hint="eastAsia"/>
          <w:color w:val="FFFFFF" w:themeColor="background1"/>
          <w:sz w:val="32"/>
          <w:szCs w:val="32"/>
          <w:highlight w:val="blue"/>
          <w14:textFill>
            <w14:solidFill>
              <w14:schemeClr w14:val="bg1"/>
            </w14:solidFill>
          </w14:textFill>
        </w:rPr>
        <w:t>案例三：“渝快融”</w:t>
      </w:r>
    </w:p>
    <w:p>
      <w:pPr>
        <w:spacing w:line="140" w:lineRule="atLeast"/>
        <w:ind w:firstLine="480" w:firstLineChars="200"/>
        <w:jc w:val="left"/>
        <w:rPr>
          <w:rFonts w:cs="宋体" w:asciiTheme="minorEastAsia" w:hAnsiTheme="minorEastAsia"/>
          <w:snapToGrid w:val="0"/>
          <w:sz w:val="24"/>
        </w:rPr>
      </w:pPr>
      <w:r>
        <w:rPr>
          <w:rFonts w:hint="eastAsia" w:cs="宋体" w:asciiTheme="minorEastAsia" w:hAnsiTheme="minorEastAsia"/>
          <w:snapToGrid w:val="0"/>
          <w:sz w:val="24"/>
        </w:rPr>
        <w:t>自 2019 年 1 月 17 日上线以来， 截至 12 月 31 日，“渝快融”平台已与22家银行、担保、保险等金融机构建立了合作关系，累计服务企业20.2万家，成功融资企业16 万家，服务融资金额约 180 亿元，企业遍布实体经济各行各业。成功融资企业中85%以上为注册资金 50万元以内的小微企业，95%以上单笔融资金额小于 50 万元。</w:t>
      </w:r>
    </w:p>
    <w:p>
      <w:pPr>
        <w:spacing w:line="140" w:lineRule="atLeast"/>
        <w:jc w:val="left"/>
        <w:rPr>
          <w:rFonts w:cs="宋体" w:asciiTheme="minorEastAsia" w:hAnsiTheme="minorEastAsia"/>
          <w:snapToGrid w:val="0"/>
          <w:sz w:val="24"/>
        </w:rPr>
      </w:pPr>
      <w:r>
        <w:rPr>
          <w:rFonts w:hint="eastAsia" w:cs="宋体" w:asciiTheme="minorEastAsia" w:hAnsiTheme="minorEastAsia"/>
          <w:snapToGrid w:val="0"/>
          <w:sz w:val="24"/>
        </w:rPr>
        <w:t>Case 3：</w:t>
      </w:r>
      <w:r>
        <w:rPr>
          <w:rFonts w:cs="宋体" w:asciiTheme="minorEastAsia" w:hAnsiTheme="minorEastAsia"/>
          <w:snapToGrid w:val="0"/>
          <w:sz w:val="24"/>
        </w:rPr>
        <w:t>“</w:t>
      </w:r>
      <w:r>
        <w:rPr>
          <w:rFonts w:hint="eastAsia" w:cs="宋体" w:asciiTheme="minorEastAsia" w:hAnsiTheme="minorEastAsia"/>
          <w:snapToGrid w:val="0"/>
          <w:sz w:val="24"/>
        </w:rPr>
        <w:t>Chongqing Express Finance</w:t>
      </w:r>
      <w:r>
        <w:rPr>
          <w:rFonts w:cs="宋体" w:asciiTheme="minorEastAsia" w:hAnsiTheme="minorEastAsia"/>
          <w:snapToGrid w:val="0"/>
          <w:sz w:val="24"/>
        </w:rPr>
        <w:t>”</w:t>
      </w:r>
    </w:p>
    <w:p>
      <w:pPr>
        <w:spacing w:line="140" w:lineRule="atLeast"/>
        <w:rPr>
          <w:rFonts w:cs="宋体" w:asciiTheme="minorEastAsia" w:hAnsiTheme="minorEastAsia"/>
          <w:snapToGrid w:val="0"/>
          <w:sz w:val="24"/>
        </w:rPr>
      </w:pPr>
      <w:r>
        <w:rPr>
          <w:rFonts w:hint="eastAsia" w:cs="宋体" w:asciiTheme="minorEastAsia" w:hAnsiTheme="minorEastAsia"/>
          <w:snapToGrid w:val="0"/>
          <w:sz w:val="24"/>
        </w:rPr>
        <w:t>Since the platform launched on January 17,</w:t>
      </w:r>
      <w:r>
        <w:rPr>
          <w:rFonts w:cs="宋体" w:asciiTheme="minorEastAsia" w:hAnsiTheme="minorEastAsia"/>
          <w:snapToGrid w:val="0"/>
          <w:sz w:val="24"/>
        </w:rPr>
        <w:t xml:space="preserve"> </w:t>
      </w:r>
      <w:r>
        <w:rPr>
          <w:rFonts w:hint="eastAsia" w:cs="宋体" w:asciiTheme="minorEastAsia" w:hAnsiTheme="minorEastAsia"/>
          <w:snapToGrid w:val="0"/>
          <w:sz w:val="24"/>
        </w:rPr>
        <w:t>2019, as of December 31</w:t>
      </w:r>
      <w:r>
        <w:rPr>
          <w:rFonts w:cs="宋体" w:asciiTheme="minorEastAsia" w:hAnsiTheme="minorEastAsia"/>
          <w:snapToGrid w:val="0"/>
          <w:sz w:val="24"/>
        </w:rPr>
        <w:t>, 2019,</w:t>
      </w:r>
      <w:r>
        <w:rPr>
          <w:rFonts w:hint="eastAsia" w:cs="宋体" w:asciiTheme="minorEastAsia" w:hAnsiTheme="minorEastAsia"/>
          <w:snapToGrid w:val="0"/>
          <w:sz w:val="24"/>
        </w:rPr>
        <w:t xml:space="preserve"> the </w:t>
      </w:r>
      <w:r>
        <w:rPr>
          <w:rFonts w:cs="宋体" w:asciiTheme="minorEastAsia" w:hAnsiTheme="minorEastAsia"/>
          <w:snapToGrid w:val="0"/>
          <w:sz w:val="24"/>
        </w:rPr>
        <w:t>“</w:t>
      </w:r>
      <w:r>
        <w:rPr>
          <w:rFonts w:hint="eastAsia" w:cs="宋体" w:asciiTheme="minorEastAsia" w:hAnsiTheme="minorEastAsia"/>
          <w:snapToGrid w:val="0"/>
          <w:sz w:val="24"/>
        </w:rPr>
        <w:t>Chongqing Express Finance</w:t>
      </w:r>
      <w:r>
        <w:rPr>
          <w:rFonts w:cs="宋体" w:asciiTheme="minorEastAsia" w:hAnsiTheme="minorEastAsia"/>
          <w:snapToGrid w:val="0"/>
          <w:sz w:val="24"/>
        </w:rPr>
        <w:t>”</w:t>
      </w:r>
      <w:r>
        <w:rPr>
          <w:rFonts w:hint="eastAsia" w:cs="宋体" w:asciiTheme="minorEastAsia" w:hAnsiTheme="minorEastAsia"/>
          <w:snapToGrid w:val="0"/>
          <w:sz w:val="24"/>
        </w:rPr>
        <w:t xml:space="preserve"> platform ha</w:t>
      </w:r>
      <w:r>
        <w:rPr>
          <w:rFonts w:cs="宋体" w:asciiTheme="minorEastAsia" w:hAnsiTheme="minorEastAsia"/>
          <w:snapToGrid w:val="0"/>
          <w:sz w:val="24"/>
        </w:rPr>
        <w:t>s</w:t>
      </w:r>
      <w:r>
        <w:rPr>
          <w:rFonts w:hint="eastAsia" w:cs="宋体" w:asciiTheme="minorEastAsia" w:hAnsiTheme="minorEastAsia"/>
          <w:snapToGrid w:val="0"/>
          <w:sz w:val="24"/>
        </w:rPr>
        <w:t xml:space="preserve"> established cooperative relationships with 22 banks, guarantee agencies, insurance agencies and other financial institutions.</w:t>
      </w:r>
      <w:r>
        <w:rPr>
          <w:rFonts w:cs="宋体" w:asciiTheme="minorEastAsia" w:hAnsiTheme="minorEastAsia"/>
          <w:snapToGrid w:val="0"/>
          <w:sz w:val="24"/>
        </w:rPr>
        <w:t xml:space="preserve"> </w:t>
      </w:r>
      <w:r>
        <w:rPr>
          <w:rFonts w:hint="eastAsia" w:cs="宋体" w:asciiTheme="minorEastAsia" w:hAnsiTheme="minorEastAsia"/>
          <w:snapToGrid w:val="0"/>
          <w:sz w:val="24"/>
        </w:rPr>
        <w:t xml:space="preserve">The platform </w:t>
      </w:r>
      <w:r>
        <w:rPr>
          <w:rFonts w:cs="宋体" w:asciiTheme="minorEastAsia" w:hAnsiTheme="minorEastAsia"/>
          <w:snapToGrid w:val="0"/>
          <w:sz w:val="24"/>
        </w:rPr>
        <w:t>has</w:t>
      </w:r>
      <w:r>
        <w:rPr>
          <w:rFonts w:hint="eastAsia" w:cs="宋体" w:asciiTheme="minorEastAsia" w:hAnsiTheme="minorEastAsia"/>
          <w:snapToGrid w:val="0"/>
          <w:sz w:val="24"/>
        </w:rPr>
        <w:t xml:space="preserve"> served 202,000 enterprises and provided financing for 160,000 enterprises.</w:t>
      </w:r>
      <w:r>
        <w:rPr>
          <w:rFonts w:cs="宋体" w:asciiTheme="minorEastAsia" w:hAnsiTheme="minorEastAsia"/>
          <w:snapToGrid w:val="0"/>
          <w:sz w:val="24"/>
        </w:rPr>
        <w:t xml:space="preserve"> </w:t>
      </w:r>
      <w:r>
        <w:rPr>
          <w:rFonts w:hint="eastAsia" w:cs="宋体" w:asciiTheme="minorEastAsia" w:hAnsiTheme="minorEastAsia"/>
          <w:snapToGrid w:val="0"/>
          <w:sz w:val="24"/>
        </w:rPr>
        <w:t xml:space="preserve">The service financing amount </w:t>
      </w:r>
      <w:r>
        <w:rPr>
          <w:rFonts w:cs="宋体" w:asciiTheme="minorEastAsia" w:hAnsiTheme="minorEastAsia"/>
          <w:snapToGrid w:val="0"/>
          <w:sz w:val="24"/>
        </w:rPr>
        <w:t>was a</w:t>
      </w:r>
      <w:r>
        <w:rPr>
          <w:rFonts w:hint="eastAsia" w:cs="宋体" w:asciiTheme="minorEastAsia" w:hAnsiTheme="minorEastAsia"/>
          <w:snapToGrid w:val="0"/>
          <w:sz w:val="24"/>
        </w:rPr>
        <w:t>bout 18 billion yuan</w:t>
      </w:r>
      <w:r>
        <w:rPr>
          <w:rFonts w:cs="宋体" w:asciiTheme="minorEastAsia" w:hAnsiTheme="minorEastAsia"/>
          <w:snapToGrid w:val="0"/>
          <w:sz w:val="24"/>
        </w:rPr>
        <w:t>,</w:t>
      </w:r>
      <w:r>
        <w:rPr>
          <w:rFonts w:hint="eastAsia" w:cs="宋体" w:asciiTheme="minorEastAsia" w:hAnsiTheme="minorEastAsia"/>
          <w:snapToGrid w:val="0"/>
          <w:sz w:val="24"/>
        </w:rPr>
        <w:t xml:space="preserve"> and enterprises which g</w:t>
      </w:r>
      <w:r>
        <w:rPr>
          <w:rFonts w:cs="宋体" w:asciiTheme="minorEastAsia" w:hAnsiTheme="minorEastAsia"/>
          <w:snapToGrid w:val="0"/>
          <w:sz w:val="24"/>
        </w:rPr>
        <w:t>o</w:t>
      </w:r>
      <w:r>
        <w:rPr>
          <w:rFonts w:hint="eastAsia" w:cs="宋体" w:asciiTheme="minorEastAsia" w:hAnsiTheme="minorEastAsia"/>
          <w:snapToGrid w:val="0"/>
          <w:sz w:val="24"/>
        </w:rPr>
        <w:t xml:space="preserve">t financing support </w:t>
      </w:r>
      <w:r>
        <w:rPr>
          <w:rFonts w:cs="宋体" w:asciiTheme="minorEastAsia" w:hAnsiTheme="minorEastAsia"/>
          <w:snapToGrid w:val="0"/>
          <w:sz w:val="24"/>
        </w:rPr>
        <w:t>wer</w:t>
      </w:r>
      <w:r>
        <w:rPr>
          <w:rFonts w:hint="eastAsia" w:cs="宋体" w:asciiTheme="minorEastAsia" w:hAnsiTheme="minorEastAsia"/>
          <w:snapToGrid w:val="0"/>
          <w:sz w:val="24"/>
        </w:rPr>
        <w:t>e distributed in various industries of the real economy.</w:t>
      </w:r>
      <w:r>
        <w:rPr>
          <w:rFonts w:cs="宋体" w:asciiTheme="minorEastAsia" w:hAnsiTheme="minorEastAsia"/>
          <w:snapToGrid w:val="0"/>
          <w:sz w:val="24"/>
        </w:rPr>
        <w:t xml:space="preserve"> </w:t>
      </w:r>
      <w:r>
        <w:rPr>
          <w:rFonts w:hint="eastAsia" w:cs="宋体" w:asciiTheme="minorEastAsia" w:hAnsiTheme="minorEastAsia"/>
          <w:snapToGrid w:val="0"/>
          <w:sz w:val="24"/>
        </w:rPr>
        <w:t>More than 85%</w:t>
      </w:r>
      <w:r>
        <w:rPr>
          <w:rFonts w:cs="宋体" w:asciiTheme="minorEastAsia" w:hAnsiTheme="minorEastAsia"/>
          <w:snapToGrid w:val="0"/>
          <w:sz w:val="24"/>
        </w:rPr>
        <w:t xml:space="preserve"> of</w:t>
      </w:r>
      <w:r>
        <w:rPr>
          <w:rFonts w:hint="eastAsia" w:cs="宋体" w:asciiTheme="minorEastAsia" w:hAnsiTheme="minorEastAsia"/>
          <w:snapToGrid w:val="0"/>
          <w:sz w:val="24"/>
        </w:rPr>
        <w:t xml:space="preserve"> </w:t>
      </w:r>
      <w:r>
        <w:rPr>
          <w:rFonts w:cs="宋体" w:asciiTheme="minorEastAsia" w:hAnsiTheme="minorEastAsia"/>
          <w:snapToGrid w:val="0"/>
          <w:sz w:val="24"/>
        </w:rPr>
        <w:t xml:space="preserve">financed </w:t>
      </w:r>
      <w:r>
        <w:rPr>
          <w:rFonts w:hint="eastAsia" w:cs="宋体" w:asciiTheme="minorEastAsia" w:hAnsiTheme="minorEastAsia"/>
          <w:snapToGrid w:val="0"/>
          <w:sz w:val="24"/>
        </w:rPr>
        <w:t xml:space="preserve">enterprises </w:t>
      </w:r>
      <w:r>
        <w:rPr>
          <w:rFonts w:cs="宋体" w:asciiTheme="minorEastAsia" w:hAnsiTheme="minorEastAsia"/>
          <w:snapToGrid w:val="0"/>
          <w:sz w:val="24"/>
        </w:rPr>
        <w:t>are</w:t>
      </w:r>
      <w:r>
        <w:rPr>
          <w:rFonts w:hint="eastAsia" w:cs="宋体" w:asciiTheme="minorEastAsia" w:hAnsiTheme="minorEastAsia"/>
          <w:snapToGrid w:val="0"/>
          <w:sz w:val="24"/>
        </w:rPr>
        <w:t xml:space="preserve"> </w:t>
      </w:r>
      <w:r>
        <w:rPr>
          <w:rFonts w:cs="宋体" w:asciiTheme="minorEastAsia" w:hAnsiTheme="minorEastAsia"/>
          <w:snapToGrid w:val="0"/>
          <w:sz w:val="24"/>
        </w:rPr>
        <w:t>micro&amp;small</w:t>
      </w:r>
      <w:r>
        <w:rPr>
          <w:rFonts w:hint="eastAsia" w:cs="宋体" w:asciiTheme="minorEastAsia" w:hAnsiTheme="minorEastAsia"/>
          <w:snapToGrid w:val="0"/>
          <w:sz w:val="24"/>
        </w:rPr>
        <w:t xml:space="preserve"> enterprises whose registered capital </w:t>
      </w:r>
      <w:r>
        <w:rPr>
          <w:rFonts w:cs="宋体" w:asciiTheme="minorEastAsia" w:hAnsiTheme="minorEastAsia"/>
          <w:snapToGrid w:val="0"/>
          <w:sz w:val="24"/>
        </w:rPr>
        <w:t>is</w:t>
      </w:r>
      <w:r>
        <w:rPr>
          <w:rFonts w:hint="eastAsia" w:cs="宋体" w:asciiTheme="minorEastAsia" w:hAnsiTheme="minorEastAsia"/>
          <w:snapToGrid w:val="0"/>
          <w:sz w:val="24"/>
        </w:rPr>
        <w:t xml:space="preserve"> less than 500,000 yuan, and more than 95% </w:t>
      </w:r>
      <w:r>
        <w:rPr>
          <w:rFonts w:cs="宋体" w:asciiTheme="minorEastAsia" w:hAnsiTheme="minorEastAsia"/>
          <w:snapToGrid w:val="0"/>
          <w:sz w:val="24"/>
        </w:rPr>
        <w:t>of the individual</w:t>
      </w:r>
      <w:r>
        <w:rPr>
          <w:rFonts w:hint="eastAsia" w:cs="宋体" w:asciiTheme="minorEastAsia" w:hAnsiTheme="minorEastAsia"/>
          <w:snapToGrid w:val="0"/>
          <w:sz w:val="24"/>
        </w:rPr>
        <w:t xml:space="preserve"> financing amount </w:t>
      </w:r>
      <w:r>
        <w:rPr>
          <w:rFonts w:cs="宋体" w:asciiTheme="minorEastAsia" w:hAnsiTheme="minorEastAsia"/>
          <w:snapToGrid w:val="0"/>
          <w:sz w:val="24"/>
        </w:rPr>
        <w:t xml:space="preserve">is </w:t>
      </w:r>
      <w:r>
        <w:rPr>
          <w:rFonts w:hint="eastAsia" w:cs="宋体" w:asciiTheme="minorEastAsia" w:hAnsiTheme="minorEastAsia"/>
          <w:snapToGrid w:val="0"/>
          <w:sz w:val="24"/>
        </w:rPr>
        <w:t>less than 500,000 yuan.</w:t>
      </w:r>
    </w:p>
    <w:p>
      <w:pPr>
        <w:spacing w:line="140" w:lineRule="atLeast"/>
        <w:rPr>
          <w:rFonts w:asciiTheme="minorEastAsia" w:hAnsiTheme="minorEastAsia"/>
          <w:sz w:val="24"/>
        </w:rPr>
      </w:pPr>
    </w:p>
    <w:p>
      <w:pPr>
        <w:spacing w:line="140" w:lineRule="atLeast"/>
        <w:rPr>
          <w:rFonts w:asciiTheme="minorEastAsia" w:hAnsiTheme="minorEastAsia"/>
          <w:sz w:val="24"/>
        </w:rPr>
      </w:pPr>
    </w:p>
    <w:p>
      <w:pPr>
        <w:spacing w:line="140" w:lineRule="atLeast"/>
        <w:ind w:firstLine="640" w:firstLineChars="200"/>
        <w:rPr>
          <w:color w:val="FFFFFF" w:themeColor="background1"/>
          <w:sz w:val="32"/>
          <w:szCs w:val="32"/>
          <w:highlight w:val="blue"/>
          <w14:textFill>
            <w14:solidFill>
              <w14:schemeClr w14:val="bg1"/>
            </w14:solidFill>
          </w14:textFill>
        </w:rPr>
      </w:pPr>
      <w:r>
        <w:rPr>
          <w:rFonts w:hint="eastAsia"/>
          <w:color w:val="FFFFFF" w:themeColor="background1"/>
          <w:sz w:val="32"/>
          <w:szCs w:val="32"/>
          <w:highlight w:val="blue"/>
          <w14:textFill>
            <w14:solidFill>
              <w14:schemeClr w14:val="bg1"/>
            </w14:solidFill>
          </w14:textFill>
        </w:rPr>
        <w:t>案例四：重庆市公共信用信息平台</w:t>
      </w:r>
    </w:p>
    <w:p>
      <w:pPr>
        <w:spacing w:line="140" w:lineRule="atLeast"/>
        <w:ind w:firstLine="480" w:firstLineChars="200"/>
        <w:rPr>
          <w:rFonts w:cs="宋体" w:asciiTheme="minorEastAsia" w:hAnsiTheme="minorEastAsia"/>
          <w:snapToGrid w:val="0"/>
          <w:sz w:val="24"/>
        </w:rPr>
      </w:pPr>
      <w:r>
        <w:rPr>
          <w:rFonts w:hint="eastAsia" w:cs="宋体" w:asciiTheme="minorEastAsia" w:hAnsiTheme="minorEastAsia"/>
          <w:snapToGrid w:val="0"/>
          <w:sz w:val="24"/>
        </w:rPr>
        <w:t>Case</w:t>
      </w:r>
      <w:r>
        <w:rPr>
          <w:rFonts w:cs="宋体" w:asciiTheme="minorEastAsia" w:hAnsiTheme="minorEastAsia"/>
          <w:snapToGrid w:val="0"/>
          <w:sz w:val="24"/>
        </w:rPr>
        <w:t xml:space="preserve"> </w:t>
      </w:r>
      <w:r>
        <w:rPr>
          <w:rFonts w:hint="eastAsia" w:cs="宋体" w:asciiTheme="minorEastAsia" w:hAnsiTheme="minorEastAsia"/>
          <w:snapToGrid w:val="0"/>
          <w:sz w:val="24"/>
        </w:rPr>
        <w:t xml:space="preserve">4：Chongqing </w:t>
      </w:r>
      <w:r>
        <w:rPr>
          <w:rFonts w:cs="宋体" w:asciiTheme="minorEastAsia" w:hAnsiTheme="minorEastAsia"/>
          <w:snapToGrid w:val="0"/>
          <w:sz w:val="24"/>
        </w:rPr>
        <w:t>P</w:t>
      </w:r>
      <w:r>
        <w:rPr>
          <w:rFonts w:hint="eastAsia" w:cs="宋体" w:asciiTheme="minorEastAsia" w:hAnsiTheme="minorEastAsia"/>
          <w:snapToGrid w:val="0"/>
          <w:sz w:val="24"/>
        </w:rPr>
        <w:t xml:space="preserve">ublic </w:t>
      </w:r>
      <w:r>
        <w:rPr>
          <w:rFonts w:cs="宋体" w:asciiTheme="minorEastAsia" w:hAnsiTheme="minorEastAsia"/>
          <w:snapToGrid w:val="0"/>
          <w:sz w:val="24"/>
        </w:rPr>
        <w:t>C</w:t>
      </w:r>
      <w:r>
        <w:rPr>
          <w:rFonts w:hint="eastAsia" w:cs="宋体" w:asciiTheme="minorEastAsia" w:hAnsiTheme="minorEastAsia"/>
          <w:snapToGrid w:val="0"/>
          <w:sz w:val="24"/>
        </w:rPr>
        <w:t>redit</w:t>
      </w:r>
      <w:r>
        <w:rPr>
          <w:rFonts w:cs="宋体" w:asciiTheme="minorEastAsia" w:hAnsiTheme="minorEastAsia"/>
          <w:snapToGrid w:val="0"/>
          <w:sz w:val="24"/>
        </w:rPr>
        <w:t xml:space="preserve"> I</w:t>
      </w:r>
      <w:r>
        <w:rPr>
          <w:rFonts w:hint="eastAsia" w:cs="宋体" w:asciiTheme="minorEastAsia" w:hAnsiTheme="minorEastAsia"/>
          <w:snapToGrid w:val="0"/>
          <w:sz w:val="24"/>
        </w:rPr>
        <w:t xml:space="preserve">nformation </w:t>
      </w:r>
      <w:r>
        <w:rPr>
          <w:rFonts w:cs="宋体" w:asciiTheme="minorEastAsia" w:hAnsiTheme="minorEastAsia"/>
          <w:snapToGrid w:val="0"/>
          <w:sz w:val="24"/>
        </w:rPr>
        <w:t>P</w:t>
      </w:r>
      <w:r>
        <w:rPr>
          <w:rFonts w:hint="eastAsia" w:cs="宋体" w:asciiTheme="minorEastAsia" w:hAnsiTheme="minorEastAsia"/>
          <w:snapToGrid w:val="0"/>
          <w:sz w:val="24"/>
        </w:rPr>
        <w:t xml:space="preserve">latform </w:t>
      </w:r>
    </w:p>
    <w:p>
      <w:pPr>
        <w:spacing w:line="140" w:lineRule="atLeast"/>
        <w:ind w:firstLine="480" w:firstLineChars="200"/>
        <w:jc w:val="left"/>
        <w:rPr>
          <w:rFonts w:cs="宋体" w:asciiTheme="minorEastAsia" w:hAnsiTheme="minorEastAsia"/>
          <w:snapToGrid w:val="0"/>
          <w:sz w:val="24"/>
        </w:rPr>
      </w:pPr>
      <w:r>
        <w:rPr>
          <w:rFonts w:hint="eastAsia" w:cs="宋体" w:asciiTheme="minorEastAsia" w:hAnsiTheme="minorEastAsia"/>
          <w:snapToGrid w:val="0"/>
          <w:sz w:val="24"/>
        </w:rPr>
        <w:t>重庆市公共信用信息平台自2016年建成上线，现与国家平台、50余家市级部门、所有区县对接，已实现信用目录管理、信息归集共享、数据清洗比对、信用信息查询、“红黑名单”触发反馈、信用大数据分析等核心功能，2717项公共信用信息基本实现应归尽归，累计归集量突破4.4亿条。</w:t>
      </w:r>
    </w:p>
    <w:p>
      <w:pPr>
        <w:spacing w:line="140" w:lineRule="atLeast"/>
        <w:ind w:firstLine="480" w:firstLineChars="200"/>
        <w:rPr>
          <w:rFonts w:cs="Times New Roman" w:asciiTheme="minorEastAsia" w:hAnsiTheme="minorEastAsia"/>
          <w:sz w:val="24"/>
        </w:rPr>
      </w:pPr>
      <w:r>
        <w:rPr>
          <w:rFonts w:cs="宋体" w:asciiTheme="minorEastAsia" w:hAnsiTheme="minorEastAsia"/>
          <w:snapToGrid w:val="0"/>
          <w:sz w:val="24"/>
        </w:rPr>
        <w:t>Chongqing public credit information platform has been put into operation since 2016, and is now connected with the national platform, more than 50 municipal departments as well as all</w:t>
      </w:r>
      <w:r>
        <w:rPr>
          <w:rFonts w:cs="Times New Roman" w:asciiTheme="minorEastAsia" w:hAnsiTheme="minorEastAsia"/>
          <w:sz w:val="24"/>
        </w:rPr>
        <w:t xml:space="preserve"> of the district and county governments</w:t>
      </w:r>
      <w:r>
        <w:rPr>
          <w:rFonts w:hint="eastAsia" w:cs="Times New Roman" w:asciiTheme="minorEastAsia" w:hAnsiTheme="minorEastAsia"/>
          <w:sz w:val="24"/>
        </w:rPr>
        <w:t>.</w:t>
      </w:r>
      <w:r>
        <w:rPr>
          <w:rFonts w:cs="Times New Roman" w:asciiTheme="minorEastAsia" w:hAnsiTheme="minorEastAsia"/>
          <w:sz w:val="24"/>
        </w:rPr>
        <w:t xml:space="preserve"> </w:t>
      </w:r>
      <w:r>
        <w:rPr>
          <w:rFonts w:hint="eastAsia" w:cs="Times New Roman" w:asciiTheme="minorEastAsia" w:hAnsiTheme="minorEastAsia"/>
          <w:sz w:val="24"/>
        </w:rPr>
        <w:t xml:space="preserve">The platform has </w:t>
      </w:r>
      <w:r>
        <w:rPr>
          <w:rFonts w:cs="Times New Roman" w:asciiTheme="minorEastAsia" w:hAnsiTheme="minorEastAsia"/>
          <w:sz w:val="24"/>
        </w:rPr>
        <w:t>achieved to have such</w:t>
      </w:r>
      <w:r>
        <w:rPr>
          <w:rFonts w:hint="eastAsia" w:cs="Times New Roman" w:asciiTheme="minorEastAsia" w:hAnsiTheme="minorEastAsia"/>
          <w:sz w:val="24"/>
        </w:rPr>
        <w:t xml:space="preserve"> core functions </w:t>
      </w:r>
      <w:r>
        <w:rPr>
          <w:rFonts w:cs="Times New Roman" w:asciiTheme="minorEastAsia" w:hAnsiTheme="minorEastAsia"/>
          <w:sz w:val="24"/>
        </w:rPr>
        <w:t>as</w:t>
      </w:r>
      <w:r>
        <w:rPr>
          <w:rFonts w:hint="eastAsia" w:cs="Times New Roman" w:asciiTheme="minorEastAsia" w:hAnsiTheme="minorEastAsia"/>
          <w:sz w:val="24"/>
        </w:rPr>
        <w:t xml:space="preserve"> credit catalog management, information collection and s</w:t>
      </w:r>
      <w:r>
        <w:rPr>
          <w:rFonts w:hint="eastAsia" w:cs="宋体" w:asciiTheme="minorEastAsia" w:hAnsiTheme="minorEastAsia"/>
          <w:snapToGrid w:val="0"/>
          <w:sz w:val="24"/>
        </w:rPr>
        <w:t xml:space="preserve">haring, data </w:t>
      </w:r>
      <w:r>
        <w:rPr>
          <w:rFonts w:cs="宋体" w:asciiTheme="minorEastAsia" w:hAnsiTheme="minorEastAsia"/>
          <w:snapToGrid w:val="0"/>
          <w:sz w:val="24"/>
        </w:rPr>
        <w:t>cleans</w:t>
      </w:r>
      <w:r>
        <w:rPr>
          <w:rFonts w:hint="eastAsia" w:cs="宋体" w:asciiTheme="minorEastAsia" w:hAnsiTheme="minorEastAsia"/>
          <w:snapToGrid w:val="0"/>
          <w:sz w:val="24"/>
        </w:rPr>
        <w:t>ing and c</w:t>
      </w:r>
      <w:r>
        <w:rPr>
          <w:rFonts w:hint="eastAsia" w:cs="Times New Roman" w:asciiTheme="minorEastAsia" w:hAnsiTheme="minorEastAsia"/>
          <w:sz w:val="24"/>
        </w:rPr>
        <w:t>omparison, credit information inquiry, "red-black list" trigger feedback, big data analysis</w:t>
      </w:r>
      <w:r>
        <w:rPr>
          <w:rFonts w:cs="Times New Roman" w:asciiTheme="minorEastAsia" w:hAnsiTheme="minorEastAsia"/>
          <w:sz w:val="24"/>
        </w:rPr>
        <w:t xml:space="preserve"> of </w:t>
      </w:r>
      <w:r>
        <w:rPr>
          <w:rFonts w:hint="eastAsia" w:cs="Times New Roman" w:asciiTheme="minorEastAsia" w:hAnsiTheme="minorEastAsia"/>
          <w:sz w:val="24"/>
        </w:rPr>
        <w:t>credit</w:t>
      </w:r>
      <w:r>
        <w:rPr>
          <w:rFonts w:cs="Times New Roman" w:asciiTheme="minorEastAsia" w:hAnsiTheme="minorEastAsia"/>
          <w:sz w:val="24"/>
        </w:rPr>
        <w:t xml:space="preserve"> and so on</w:t>
      </w:r>
      <w:r>
        <w:rPr>
          <w:rFonts w:hint="eastAsia" w:cs="Times New Roman" w:asciiTheme="minorEastAsia" w:hAnsiTheme="minorEastAsia"/>
          <w:sz w:val="24"/>
        </w:rPr>
        <w:t>.</w:t>
      </w:r>
      <w:r>
        <w:rPr>
          <w:rFonts w:cs="Times New Roman" w:asciiTheme="minorEastAsia" w:hAnsiTheme="minorEastAsia"/>
          <w:sz w:val="24"/>
        </w:rPr>
        <w:t xml:space="preserve"> </w:t>
      </w:r>
      <w:r>
        <w:rPr>
          <w:rFonts w:hint="eastAsia" w:cs="Times New Roman" w:asciiTheme="minorEastAsia" w:hAnsiTheme="minorEastAsia"/>
          <w:sz w:val="24"/>
        </w:rPr>
        <w:t>It has basically collected 2</w:t>
      </w:r>
      <w:r>
        <w:rPr>
          <w:rFonts w:cs="Times New Roman" w:asciiTheme="minorEastAsia" w:hAnsiTheme="minorEastAsia"/>
          <w:sz w:val="24"/>
        </w:rPr>
        <w:t>,</w:t>
      </w:r>
      <w:r>
        <w:rPr>
          <w:rFonts w:hint="eastAsia" w:cs="Times New Roman" w:asciiTheme="minorEastAsia" w:hAnsiTheme="minorEastAsia"/>
          <w:sz w:val="24"/>
        </w:rPr>
        <w:t>717 items of public credit information,</w:t>
      </w:r>
      <w:r>
        <w:rPr>
          <w:rFonts w:cs="Times New Roman" w:asciiTheme="minorEastAsia" w:hAnsiTheme="minorEastAsia"/>
          <w:sz w:val="24"/>
        </w:rPr>
        <w:t xml:space="preserve"> with</w:t>
      </w:r>
      <w:r>
        <w:rPr>
          <w:rFonts w:hint="eastAsia" w:cs="Times New Roman" w:asciiTheme="minorEastAsia" w:hAnsiTheme="minorEastAsia"/>
          <w:sz w:val="24"/>
        </w:rPr>
        <w:t xml:space="preserve"> the total collection volume exceed</w:t>
      </w:r>
      <w:r>
        <w:rPr>
          <w:rFonts w:cs="Times New Roman" w:asciiTheme="minorEastAsia" w:hAnsiTheme="minorEastAsia"/>
          <w:sz w:val="24"/>
        </w:rPr>
        <w:t>ing</w:t>
      </w:r>
      <w:r>
        <w:rPr>
          <w:rFonts w:hint="eastAsia" w:cs="Times New Roman" w:asciiTheme="minorEastAsia" w:hAnsiTheme="minorEastAsia"/>
          <w:sz w:val="24"/>
        </w:rPr>
        <w:t xml:space="preserve"> 440 million</w:t>
      </w:r>
      <w:r>
        <w:rPr>
          <w:rFonts w:cs="Times New Roman" w:asciiTheme="minorEastAsia" w:hAnsiTheme="minorEastAsia"/>
          <w:sz w:val="24"/>
        </w:rPr>
        <w:t>.</w:t>
      </w:r>
    </w:p>
    <w:p>
      <w:pPr>
        <w:spacing w:line="140" w:lineRule="atLeast"/>
        <w:jc w:val="left"/>
        <w:rPr>
          <w:rFonts w:cs="Times New Roman" w:asciiTheme="minorEastAsia" w:hAnsiTheme="min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FZLTDHK--GBK1-0">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926764"/>
    <w:multiLevelType w:val="multilevel"/>
    <w:tmpl w:val="39926764"/>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E0"/>
    <w:rsid w:val="00007330"/>
    <w:rsid w:val="0001230A"/>
    <w:rsid w:val="00012323"/>
    <w:rsid w:val="00013839"/>
    <w:rsid w:val="00043AC3"/>
    <w:rsid w:val="00044641"/>
    <w:rsid w:val="00046657"/>
    <w:rsid w:val="00052F48"/>
    <w:rsid w:val="000604CA"/>
    <w:rsid w:val="00066BBF"/>
    <w:rsid w:val="00072FCA"/>
    <w:rsid w:val="000A57B6"/>
    <w:rsid w:val="000D02C2"/>
    <w:rsid w:val="000D5828"/>
    <w:rsid w:val="000F1F77"/>
    <w:rsid w:val="00121340"/>
    <w:rsid w:val="00132C00"/>
    <w:rsid w:val="0014004C"/>
    <w:rsid w:val="001534DE"/>
    <w:rsid w:val="0015407E"/>
    <w:rsid w:val="00165BE0"/>
    <w:rsid w:val="00170C23"/>
    <w:rsid w:val="00172E20"/>
    <w:rsid w:val="0017692B"/>
    <w:rsid w:val="001E748A"/>
    <w:rsid w:val="001F4D6B"/>
    <w:rsid w:val="00210F92"/>
    <w:rsid w:val="0021234E"/>
    <w:rsid w:val="002221B7"/>
    <w:rsid w:val="00222407"/>
    <w:rsid w:val="00231985"/>
    <w:rsid w:val="002455D5"/>
    <w:rsid w:val="002509F7"/>
    <w:rsid w:val="00254EAD"/>
    <w:rsid w:val="0027177C"/>
    <w:rsid w:val="002746EA"/>
    <w:rsid w:val="0029101B"/>
    <w:rsid w:val="00293463"/>
    <w:rsid w:val="002941D8"/>
    <w:rsid w:val="00297076"/>
    <w:rsid w:val="002974AE"/>
    <w:rsid w:val="002A4994"/>
    <w:rsid w:val="002B07EA"/>
    <w:rsid w:val="002B585F"/>
    <w:rsid w:val="002C46A9"/>
    <w:rsid w:val="002E5FF6"/>
    <w:rsid w:val="002F0BB8"/>
    <w:rsid w:val="002F6814"/>
    <w:rsid w:val="0031502C"/>
    <w:rsid w:val="00334705"/>
    <w:rsid w:val="00367162"/>
    <w:rsid w:val="00377C68"/>
    <w:rsid w:val="003B7D3C"/>
    <w:rsid w:val="003D3A9D"/>
    <w:rsid w:val="003E3191"/>
    <w:rsid w:val="003E59CE"/>
    <w:rsid w:val="003F6B9C"/>
    <w:rsid w:val="004121F1"/>
    <w:rsid w:val="00415B72"/>
    <w:rsid w:val="004270B9"/>
    <w:rsid w:val="00431C7D"/>
    <w:rsid w:val="00456F6A"/>
    <w:rsid w:val="00463CAF"/>
    <w:rsid w:val="00466DB1"/>
    <w:rsid w:val="004A2B40"/>
    <w:rsid w:val="004A66A1"/>
    <w:rsid w:val="004B076D"/>
    <w:rsid w:val="004C2005"/>
    <w:rsid w:val="004C4495"/>
    <w:rsid w:val="004E0BD1"/>
    <w:rsid w:val="004E0F81"/>
    <w:rsid w:val="004E51D0"/>
    <w:rsid w:val="004E7CC5"/>
    <w:rsid w:val="005178BC"/>
    <w:rsid w:val="0052161C"/>
    <w:rsid w:val="005425F9"/>
    <w:rsid w:val="00552E55"/>
    <w:rsid w:val="00560F3A"/>
    <w:rsid w:val="00577871"/>
    <w:rsid w:val="005809C4"/>
    <w:rsid w:val="00596566"/>
    <w:rsid w:val="005A0B45"/>
    <w:rsid w:val="005B13B5"/>
    <w:rsid w:val="005B6154"/>
    <w:rsid w:val="005E3981"/>
    <w:rsid w:val="00603C34"/>
    <w:rsid w:val="006119C2"/>
    <w:rsid w:val="00627F30"/>
    <w:rsid w:val="00635D35"/>
    <w:rsid w:val="00635F02"/>
    <w:rsid w:val="00655854"/>
    <w:rsid w:val="00657B8C"/>
    <w:rsid w:val="006D4767"/>
    <w:rsid w:val="006D4F15"/>
    <w:rsid w:val="006F0BD6"/>
    <w:rsid w:val="00722986"/>
    <w:rsid w:val="00723736"/>
    <w:rsid w:val="00725662"/>
    <w:rsid w:val="00734D40"/>
    <w:rsid w:val="00782C94"/>
    <w:rsid w:val="007877BE"/>
    <w:rsid w:val="00787C2B"/>
    <w:rsid w:val="0079191E"/>
    <w:rsid w:val="007A4B65"/>
    <w:rsid w:val="007A4F77"/>
    <w:rsid w:val="007A5BC8"/>
    <w:rsid w:val="007A6345"/>
    <w:rsid w:val="007C3D01"/>
    <w:rsid w:val="007D2EEB"/>
    <w:rsid w:val="007D6077"/>
    <w:rsid w:val="007E4A8C"/>
    <w:rsid w:val="007E739C"/>
    <w:rsid w:val="00805EEF"/>
    <w:rsid w:val="00830295"/>
    <w:rsid w:val="0084635A"/>
    <w:rsid w:val="00846F77"/>
    <w:rsid w:val="00860F5D"/>
    <w:rsid w:val="008712E1"/>
    <w:rsid w:val="00877CE5"/>
    <w:rsid w:val="00893F6E"/>
    <w:rsid w:val="008A5155"/>
    <w:rsid w:val="008B4922"/>
    <w:rsid w:val="008C0A73"/>
    <w:rsid w:val="008C1C50"/>
    <w:rsid w:val="008C27F6"/>
    <w:rsid w:val="008E47D2"/>
    <w:rsid w:val="008F2DE0"/>
    <w:rsid w:val="00905EA8"/>
    <w:rsid w:val="00946031"/>
    <w:rsid w:val="0096432F"/>
    <w:rsid w:val="00986889"/>
    <w:rsid w:val="009C2818"/>
    <w:rsid w:val="009C5BAF"/>
    <w:rsid w:val="00A03651"/>
    <w:rsid w:val="00A23604"/>
    <w:rsid w:val="00A37CF5"/>
    <w:rsid w:val="00A438D4"/>
    <w:rsid w:val="00A77ED2"/>
    <w:rsid w:val="00A83790"/>
    <w:rsid w:val="00A927FB"/>
    <w:rsid w:val="00A955C4"/>
    <w:rsid w:val="00AC3953"/>
    <w:rsid w:val="00AC60A2"/>
    <w:rsid w:val="00AF62F3"/>
    <w:rsid w:val="00B0430E"/>
    <w:rsid w:val="00B24123"/>
    <w:rsid w:val="00B2661E"/>
    <w:rsid w:val="00B31F6D"/>
    <w:rsid w:val="00B35B0E"/>
    <w:rsid w:val="00B35D71"/>
    <w:rsid w:val="00B47909"/>
    <w:rsid w:val="00B566EF"/>
    <w:rsid w:val="00B75DA4"/>
    <w:rsid w:val="00B80337"/>
    <w:rsid w:val="00B85AB1"/>
    <w:rsid w:val="00BA3390"/>
    <w:rsid w:val="00BC6BA0"/>
    <w:rsid w:val="00BC6F64"/>
    <w:rsid w:val="00BD134F"/>
    <w:rsid w:val="00BE0973"/>
    <w:rsid w:val="00C02075"/>
    <w:rsid w:val="00C05A7E"/>
    <w:rsid w:val="00C277D0"/>
    <w:rsid w:val="00C33E3A"/>
    <w:rsid w:val="00C37AD5"/>
    <w:rsid w:val="00C523B0"/>
    <w:rsid w:val="00C65093"/>
    <w:rsid w:val="00CA795D"/>
    <w:rsid w:val="00CB68DF"/>
    <w:rsid w:val="00CC252C"/>
    <w:rsid w:val="00D25524"/>
    <w:rsid w:val="00D43077"/>
    <w:rsid w:val="00D4556C"/>
    <w:rsid w:val="00D53640"/>
    <w:rsid w:val="00D81E5D"/>
    <w:rsid w:val="00DA5B95"/>
    <w:rsid w:val="00DB6672"/>
    <w:rsid w:val="00DC5E03"/>
    <w:rsid w:val="00DC6355"/>
    <w:rsid w:val="00DD1302"/>
    <w:rsid w:val="00E00327"/>
    <w:rsid w:val="00E33859"/>
    <w:rsid w:val="00E64F88"/>
    <w:rsid w:val="00E77BD8"/>
    <w:rsid w:val="00E82E44"/>
    <w:rsid w:val="00EA2DE5"/>
    <w:rsid w:val="00EA6651"/>
    <w:rsid w:val="00ED0653"/>
    <w:rsid w:val="00ED7960"/>
    <w:rsid w:val="00EE69B5"/>
    <w:rsid w:val="00EF7EB8"/>
    <w:rsid w:val="00F20F9F"/>
    <w:rsid w:val="00F246F8"/>
    <w:rsid w:val="00F254C5"/>
    <w:rsid w:val="00F30D09"/>
    <w:rsid w:val="00F44A01"/>
    <w:rsid w:val="00F86FFF"/>
    <w:rsid w:val="00F87D04"/>
    <w:rsid w:val="00F9055D"/>
    <w:rsid w:val="00F943AC"/>
    <w:rsid w:val="00FA0600"/>
    <w:rsid w:val="00FA5CED"/>
    <w:rsid w:val="00FF175F"/>
    <w:rsid w:val="0C3C0C9C"/>
    <w:rsid w:val="37201575"/>
    <w:rsid w:val="49104DD2"/>
    <w:rsid w:val="4DE9725F"/>
    <w:rsid w:val="BDEB6DDB"/>
    <w:rsid w:val="DCFFA76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qFormat/>
    <w:uiPriority w:val="0"/>
    <w:pPr>
      <w:jc w:val="left"/>
    </w:pPr>
  </w:style>
  <w:style w:type="paragraph" w:styleId="3">
    <w:name w:val="Balloon Text"/>
    <w:basedOn w:val="1"/>
    <w:link w:val="13"/>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unhideWhenUsed/>
    <w:qFormat/>
    <w:uiPriority w:val="99"/>
    <w:rPr>
      <w:b/>
      <w:bCs/>
    </w:rPr>
  </w:style>
  <w:style w:type="character" w:styleId="9">
    <w:name w:val="annotation reference"/>
    <w:basedOn w:val="8"/>
    <w:qFormat/>
    <w:uiPriority w:val="0"/>
    <w:rPr>
      <w:sz w:val="21"/>
      <w:szCs w:val="21"/>
    </w:rPr>
  </w:style>
  <w:style w:type="character" w:customStyle="1" w:styleId="10">
    <w:name w:val="批注文字 Char"/>
    <w:basedOn w:val="8"/>
    <w:link w:val="2"/>
    <w:qFormat/>
    <w:uiPriority w:val="0"/>
    <w:rPr>
      <w:szCs w:val="24"/>
    </w:rPr>
  </w:style>
  <w:style w:type="character" w:customStyle="1" w:styleId="11">
    <w:name w:val="fontstyle01"/>
    <w:basedOn w:val="8"/>
    <w:qFormat/>
    <w:uiPriority w:val="0"/>
    <w:rPr>
      <w:rFonts w:hint="default" w:ascii="FZLTDHK--GBK1-0" w:hAnsi="FZLTDHK--GBK1-0"/>
      <w:color w:val="FFFFFF"/>
      <w:sz w:val="28"/>
      <w:szCs w:val="28"/>
    </w:rPr>
  </w:style>
  <w:style w:type="paragraph" w:customStyle="1" w:styleId="12">
    <w:name w:val="列出段落1"/>
    <w:basedOn w:val="1"/>
    <w:qFormat/>
    <w:uiPriority w:val="34"/>
    <w:pPr>
      <w:ind w:firstLine="420" w:firstLineChars="200"/>
    </w:pPr>
    <w:rPr>
      <w:szCs w:val="22"/>
    </w:rPr>
  </w:style>
  <w:style w:type="character" w:customStyle="1" w:styleId="13">
    <w:name w:val="批注框文本 Char"/>
    <w:basedOn w:val="8"/>
    <w:link w:val="3"/>
    <w:semiHidden/>
    <w:qFormat/>
    <w:uiPriority w:val="99"/>
    <w:rPr>
      <w:sz w:val="18"/>
      <w:szCs w:val="18"/>
    </w:rPr>
  </w:style>
  <w:style w:type="character" w:customStyle="1" w:styleId="14">
    <w:name w:val="批注主题 Char"/>
    <w:basedOn w:val="10"/>
    <w:link w:val="6"/>
    <w:semiHidden/>
    <w:qFormat/>
    <w:uiPriority w:val="99"/>
    <w:rPr>
      <w:b/>
      <w:bCs/>
      <w:szCs w:val="24"/>
    </w:rPr>
  </w:style>
  <w:style w:type="character" w:customStyle="1" w:styleId="15">
    <w:name w:val="页眉 Char"/>
    <w:basedOn w:val="8"/>
    <w:link w:val="5"/>
    <w:qFormat/>
    <w:uiPriority w:val="99"/>
    <w:rPr>
      <w:sz w:val="18"/>
      <w:szCs w:val="18"/>
    </w:rPr>
  </w:style>
  <w:style w:type="character" w:customStyle="1" w:styleId="16">
    <w:name w:val="页脚 Char"/>
    <w:basedOn w:val="8"/>
    <w:link w:val="4"/>
    <w:qFormat/>
    <w:uiPriority w:val="99"/>
    <w:rPr>
      <w:sz w:val="18"/>
      <w:szCs w:val="18"/>
    </w:rPr>
  </w:style>
  <w:style w:type="paragraph" w:customStyle="1" w:styleId="17">
    <w:name w:val="修订1"/>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2446</Words>
  <Characters>13946</Characters>
  <Lines>116</Lines>
  <Paragraphs>32</Paragraphs>
  <TotalTime>11</TotalTime>
  <ScaleCrop>false</ScaleCrop>
  <LinksUpToDate>false</LinksUpToDate>
  <CharactersWithSpaces>16360</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2020-03-02T19:59:00Z</dcterms:created>
  <dc:creator>吴 兴兵</dc:creator>
  <cp:lastModifiedBy>guest</cp:lastModifiedBy>
  <dcterms:modified xsi:type="dcterms:W3CDTF">2025-06-20T10:32:12Z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ies>
</file>