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C6C75">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4501B4CD">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17AEC4F">
      <w:pPr>
        <w:pStyle w:val="21"/>
        <w:rPr>
          <w:rFonts w:hint="eastAsia"/>
          <w:color w:val="000000" w:themeColor="text1"/>
          <w:highlight w:val="none"/>
          <w14:textFill>
            <w14:solidFill>
              <w14:schemeClr w14:val="tx1"/>
            </w14:solidFill>
          </w14:textFill>
        </w:rPr>
      </w:pPr>
    </w:p>
    <w:p w14:paraId="65DD3316">
      <w:pPr>
        <w:pStyle w:val="2"/>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000000" w:themeColor="text1"/>
          <w:highlight w:val="none"/>
          <w14:textFill>
            <w14:solidFill>
              <w14:schemeClr w14:val="tx1"/>
            </w14:solidFill>
          </w14:textFill>
        </w:rPr>
      </w:pPr>
    </w:p>
    <w:p w14:paraId="5AC28448">
      <w:pPr>
        <w:pageBreakBefore w:val="0"/>
        <w:kinsoku/>
        <w:overflowPunct/>
        <w:topLinePunct w:val="0"/>
        <w:autoSpaceDE/>
        <w:autoSpaceDN/>
        <w:bidi w:val="0"/>
        <w:spacing w:line="240" w:lineRule="auto"/>
        <w:ind w:firstLine="480"/>
        <w:textAlignment w:val="auto"/>
        <w:rPr>
          <w:rFonts w:hint="eastAsia"/>
          <w:color w:val="000000" w:themeColor="text1"/>
          <w:highlight w:val="none"/>
          <w14:textFill>
            <w14:solidFill>
              <w14:schemeClr w14:val="tx1"/>
            </w14:solidFill>
          </w14:textFill>
        </w:rPr>
      </w:pPr>
    </w:p>
    <w:p w14:paraId="59201CD8">
      <w:pPr>
        <w:pageBreakBefore w:val="0"/>
        <w:kinsoku/>
        <w:overflowPunct/>
        <w:topLinePunct w:val="0"/>
        <w:autoSpaceDE/>
        <w:autoSpaceDN/>
        <w:bidi w:val="0"/>
        <w:spacing w:line="240" w:lineRule="auto"/>
        <w:ind w:firstLine="1124" w:firstLineChars="100"/>
        <w:jc w:val="both"/>
        <w:textAlignment w:val="auto"/>
        <w:outlineLvl w:val="0"/>
        <w:rPr>
          <w:rFonts w:hint="eastAsia" w:ascii="方正黑体_GBK" w:hAnsi="黑体" w:eastAsia="方正黑体_GBK"/>
          <w:b/>
          <w:bCs/>
          <w:color w:val="000000" w:themeColor="text1"/>
          <w:spacing w:val="80"/>
          <w:sz w:val="96"/>
          <w:szCs w:val="96"/>
          <w:highlight w:val="none"/>
          <w14:textFill>
            <w14:solidFill>
              <w14:schemeClr w14:val="tx1"/>
            </w14:solidFill>
          </w14:textFill>
        </w:rPr>
      </w:pPr>
      <w:r>
        <w:rPr>
          <w:rFonts w:hint="eastAsia" w:ascii="方正黑体_GBK" w:hAnsi="黑体" w:eastAsia="方正黑体_GBK"/>
          <w:b/>
          <w:bCs/>
          <w:color w:val="000000" w:themeColor="text1"/>
          <w:spacing w:val="80"/>
          <w:sz w:val="96"/>
          <w:szCs w:val="96"/>
          <w:highlight w:val="none"/>
          <w14:textFill>
            <w14:solidFill>
              <w14:schemeClr w14:val="tx1"/>
            </w14:solidFill>
          </w14:textFill>
        </w:rPr>
        <w:t xml:space="preserve">  </w:t>
      </w:r>
      <w:r>
        <w:rPr>
          <w:rFonts w:hint="eastAsia" w:ascii="方正黑体_GBK" w:hAnsi="黑体" w:eastAsia="方正黑体_GBK" w:cs="Times New Roman"/>
          <w:b/>
          <w:bCs/>
          <w:color w:val="000000" w:themeColor="text1"/>
          <w:spacing w:val="80"/>
          <w:sz w:val="96"/>
          <w:szCs w:val="96"/>
          <w:highlight w:val="none"/>
          <w:lang w:eastAsia="zh-CN"/>
          <w14:textFill>
            <w14:solidFill>
              <w14:schemeClr w14:val="tx1"/>
            </w14:solidFill>
          </w14:textFill>
        </w:rPr>
        <w:t>比选</w:t>
      </w:r>
      <w:r>
        <w:rPr>
          <w:rFonts w:hint="eastAsia" w:ascii="方正黑体_GBK" w:hAnsi="黑体" w:eastAsia="方正黑体_GBK"/>
          <w:b/>
          <w:bCs/>
          <w:color w:val="000000" w:themeColor="text1"/>
          <w:spacing w:val="80"/>
          <w:sz w:val="96"/>
          <w:szCs w:val="96"/>
          <w:highlight w:val="none"/>
          <w14:textFill>
            <w14:solidFill>
              <w14:schemeClr w14:val="tx1"/>
            </w14:solidFill>
          </w14:textFill>
        </w:rPr>
        <w:t>文件</w:t>
      </w:r>
    </w:p>
    <w:p w14:paraId="2E9DDA8B">
      <w:pPr>
        <w:pStyle w:val="2"/>
        <w:pageBreakBefore w:val="0"/>
        <w:kinsoku/>
        <w:overflowPunct/>
        <w:topLinePunct w:val="0"/>
        <w:autoSpaceDE/>
        <w:autoSpaceDN/>
        <w:bidi w:val="0"/>
        <w:spacing w:after="0" w:line="240" w:lineRule="auto"/>
        <w:ind w:left="480" w:firstLine="1203"/>
        <w:textAlignment w:val="auto"/>
        <w:rPr>
          <w:rFonts w:hint="eastAsia" w:ascii="方正黑体_GBK" w:hAnsi="黑体" w:eastAsia="方正黑体_GBK"/>
          <w:color w:val="000000" w:themeColor="text1"/>
          <w:spacing w:val="80"/>
          <w:sz w:val="44"/>
          <w:szCs w:val="44"/>
          <w:highlight w:val="none"/>
          <w14:textFill>
            <w14:solidFill>
              <w14:schemeClr w14:val="tx1"/>
            </w14:solidFill>
          </w14:textFill>
        </w:rPr>
      </w:pPr>
    </w:p>
    <w:p w14:paraId="1C0802F2">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color w:val="000000" w:themeColor="text1"/>
          <w:sz w:val="36"/>
          <w:szCs w:val="30"/>
          <w:highlight w:val="none"/>
          <w14:textFill>
            <w14:solidFill>
              <w14:schemeClr w14:val="tx1"/>
            </w14:solidFill>
          </w14:textFill>
        </w:rPr>
      </w:pPr>
      <w:r>
        <w:rPr>
          <w:rFonts w:hint="eastAsia" w:ascii="仿宋" w:hAnsi="仿宋" w:eastAsia="仿宋" w:cs="仿宋"/>
          <w:color w:val="000000" w:themeColor="text1"/>
          <w:sz w:val="36"/>
          <w:szCs w:val="30"/>
          <w:highlight w:val="none"/>
          <w14:textFill>
            <w14:solidFill>
              <w14:schemeClr w14:val="tx1"/>
            </w14:solidFill>
          </w14:textFill>
        </w:rPr>
        <w:t xml:space="preserve">  </w:t>
      </w:r>
    </w:p>
    <w:p w14:paraId="7F102C76">
      <w:pPr>
        <w:pStyle w:val="2"/>
        <w:pageBreakBefore w:val="0"/>
        <w:kinsoku/>
        <w:overflowPunct/>
        <w:topLinePunct w:val="0"/>
        <w:autoSpaceDE/>
        <w:autoSpaceDN/>
        <w:bidi w:val="0"/>
        <w:spacing w:after="0" w:line="240" w:lineRule="auto"/>
        <w:ind w:left="480" w:firstLine="723"/>
        <w:textAlignment w:val="auto"/>
        <w:rPr>
          <w:rFonts w:hint="eastAsia" w:ascii="仿宋" w:hAnsi="仿宋" w:eastAsia="仿宋" w:cs="仿宋"/>
          <w:color w:val="000000" w:themeColor="text1"/>
          <w:sz w:val="36"/>
          <w:szCs w:val="30"/>
          <w:highlight w:val="none"/>
          <w:lang w:val="en-US" w:eastAsia="zh-CN"/>
          <w14:textFill>
            <w14:solidFill>
              <w14:schemeClr w14:val="tx1"/>
            </w14:solidFill>
          </w14:textFill>
        </w:rPr>
      </w:pPr>
      <w:r>
        <w:rPr>
          <w:rFonts w:hint="eastAsia" w:ascii="仿宋" w:hAnsi="仿宋" w:eastAsia="仿宋" w:cs="仿宋"/>
          <w:color w:val="000000" w:themeColor="text1"/>
          <w:sz w:val="36"/>
          <w:szCs w:val="30"/>
          <w:highlight w:val="none"/>
          <w:lang w:val="en-US" w:eastAsia="zh-CN"/>
          <w14:textFill>
            <w14:solidFill>
              <w14:schemeClr w14:val="tx1"/>
            </w14:solidFill>
          </w14:textFill>
        </w:rPr>
        <w:t xml:space="preserve"> </w:t>
      </w:r>
    </w:p>
    <w:p w14:paraId="2CD6EEF5">
      <w:pPr>
        <w:pageBreakBefore w:val="0"/>
        <w:kinsoku/>
        <w:overflowPunct/>
        <w:topLinePunct w:val="0"/>
        <w:autoSpaceDE/>
        <w:autoSpaceDN/>
        <w:bidi w:val="0"/>
        <w:spacing w:line="240" w:lineRule="auto"/>
        <w:ind w:firstLine="720"/>
        <w:textAlignment w:val="auto"/>
        <w:rPr>
          <w:rFonts w:hint="eastAsia" w:ascii="仿宋" w:hAnsi="仿宋" w:eastAsia="仿宋" w:cs="仿宋"/>
          <w:color w:val="000000" w:themeColor="text1"/>
          <w:sz w:val="36"/>
          <w:szCs w:val="30"/>
          <w:highlight w:val="none"/>
          <w14:textFill>
            <w14:solidFill>
              <w14:schemeClr w14:val="tx1"/>
            </w14:solidFill>
          </w14:textFill>
        </w:rPr>
      </w:pPr>
    </w:p>
    <w:p w14:paraId="11646602">
      <w:pPr>
        <w:pStyle w:val="2"/>
        <w:pageBreakBefore w:val="0"/>
        <w:kinsoku/>
        <w:overflowPunct/>
        <w:topLinePunct w:val="0"/>
        <w:autoSpaceDE/>
        <w:autoSpaceDN/>
        <w:bidi w:val="0"/>
        <w:spacing w:after="0" w:line="240" w:lineRule="auto"/>
        <w:ind w:left="480" w:firstLine="361"/>
        <w:textAlignment w:val="auto"/>
        <w:rPr>
          <w:color w:val="000000" w:themeColor="text1"/>
          <w:highlight w:val="none"/>
          <w:lang w:val="en-US" w:eastAsia="zh-CN"/>
          <w14:textFill>
            <w14:solidFill>
              <w14:schemeClr w14:val="tx1"/>
            </w14:solidFill>
          </w14:textFill>
        </w:rPr>
      </w:pPr>
    </w:p>
    <w:p w14:paraId="390897E4">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3E73C198">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39757C57">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2A997E61">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64B5DAC5">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72D2D6AE">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367AC055">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7F0AA1FB">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000000" w:themeColor="text1"/>
          <w:sz w:val="32"/>
          <w:szCs w:val="28"/>
          <w:highlight w:val="none"/>
          <w:lang w:eastAsia="zh-CN"/>
          <w14:textFill>
            <w14:solidFill>
              <w14:schemeClr w14:val="tx1"/>
            </w14:solidFill>
          </w14:textFill>
        </w:rPr>
      </w:pPr>
      <w:r>
        <w:rPr>
          <w:rFonts w:hint="eastAsia" w:ascii="仿宋" w:hAnsi="仿宋" w:eastAsia="仿宋" w:cs="仿宋"/>
          <w:color w:val="000000" w:themeColor="text1"/>
          <w:sz w:val="32"/>
          <w:szCs w:val="28"/>
          <w:highlight w:val="none"/>
          <w14:textFill>
            <w14:solidFill>
              <w14:schemeClr w14:val="tx1"/>
            </w14:solidFill>
          </w14:textFill>
        </w:rPr>
        <w:t>项目名称：</w:t>
      </w:r>
      <w:bookmarkStart w:id="31" w:name="_GoBack"/>
      <w:r>
        <w:rPr>
          <w:rFonts w:hint="eastAsia" w:ascii="仿宋" w:hAnsi="仿宋" w:eastAsia="仿宋" w:cs="仿宋"/>
          <w:color w:val="000000" w:themeColor="text1"/>
          <w:sz w:val="32"/>
          <w:szCs w:val="28"/>
          <w:highlight w:val="none"/>
          <w:lang w:eastAsia="zh-CN"/>
          <w14:textFill>
            <w14:solidFill>
              <w14:schemeClr w14:val="tx1"/>
            </w14:solidFill>
          </w14:textFill>
        </w:rPr>
        <w:t>2026年度地方金融组织现场检查项目选取</w:t>
      </w:r>
    </w:p>
    <w:p w14:paraId="646CF2F1">
      <w:pPr>
        <w:pageBreakBefore w:val="0"/>
        <w:kinsoku/>
        <w:overflowPunct/>
        <w:topLinePunct w:val="0"/>
        <w:autoSpaceDE/>
        <w:autoSpaceDN/>
        <w:bidi w:val="0"/>
        <w:spacing w:line="240" w:lineRule="auto"/>
        <w:ind w:left="2874" w:leftChars="1064" w:hanging="320" w:hangingChars="100"/>
        <w:textAlignment w:val="auto"/>
        <w:rPr>
          <w:rFonts w:hint="eastAsia" w:eastAsia="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32"/>
          <w:szCs w:val="28"/>
          <w:highlight w:val="none"/>
          <w:lang w:eastAsia="zh-CN"/>
          <w14:textFill>
            <w14:solidFill>
              <w14:schemeClr w14:val="tx1"/>
            </w14:solidFill>
          </w14:textFill>
        </w:rPr>
        <w:t>代理机构</w:t>
      </w:r>
    </w:p>
    <w:bookmarkEnd w:id="31"/>
    <w:p w14:paraId="13C68D78">
      <w:pPr>
        <w:pageBreakBefore w:val="0"/>
        <w:kinsoku/>
        <w:overflowPunct/>
        <w:topLinePunct w:val="0"/>
        <w:autoSpaceDE/>
        <w:autoSpaceDN/>
        <w:bidi w:val="0"/>
        <w:spacing w:line="240" w:lineRule="auto"/>
        <w:ind w:firstLine="960" w:firstLineChars="300"/>
        <w:textAlignment w:val="auto"/>
        <w:rPr>
          <w:rFonts w:hint="eastAsia" w:ascii="仿宋" w:hAnsi="仿宋" w:eastAsia="仿宋" w:cs="仿宋"/>
          <w:color w:val="000000" w:themeColor="text1"/>
          <w:sz w:val="32"/>
          <w:szCs w:val="28"/>
          <w:highlight w:val="none"/>
          <w14:textFill>
            <w14:solidFill>
              <w14:schemeClr w14:val="tx1"/>
            </w14:solidFill>
          </w14:textFill>
        </w:rPr>
      </w:pPr>
    </w:p>
    <w:p w14:paraId="0584FFC2">
      <w:pPr>
        <w:pageBreakBefore w:val="0"/>
        <w:kinsoku/>
        <w:overflowPunct/>
        <w:topLinePunct w:val="0"/>
        <w:autoSpaceDE/>
        <w:autoSpaceDN/>
        <w:bidi w:val="0"/>
        <w:spacing w:line="240" w:lineRule="auto"/>
        <w:ind w:firstLine="960" w:firstLineChars="300"/>
        <w:textAlignment w:val="auto"/>
        <w:rPr>
          <w:rFonts w:hint="eastAsia" w:ascii="仿宋" w:hAnsi="仿宋" w:eastAsia="仿宋" w:cs="仿宋"/>
          <w:color w:val="000000" w:themeColor="text1"/>
          <w:sz w:val="32"/>
          <w:szCs w:val="28"/>
          <w:highlight w:val="none"/>
          <w:lang w:val="en-US" w:eastAsia="zh-CN"/>
          <w14:textFill>
            <w14:solidFill>
              <w14:schemeClr w14:val="tx1"/>
            </w14:solidFill>
          </w14:textFill>
        </w:rPr>
      </w:pPr>
      <w:r>
        <w:rPr>
          <w:rFonts w:hint="eastAsia" w:ascii="仿宋" w:hAnsi="仿宋" w:eastAsia="仿宋" w:cs="仿宋"/>
          <w:color w:val="000000" w:themeColor="text1"/>
          <w:sz w:val="32"/>
          <w:szCs w:val="28"/>
          <w:highlight w:val="none"/>
          <w14:textFill>
            <w14:solidFill>
              <w14:schemeClr w14:val="tx1"/>
            </w14:solidFill>
          </w14:textFill>
        </w:rPr>
        <w:t>采 购 人：</w:t>
      </w:r>
      <w:r>
        <w:rPr>
          <w:rFonts w:hint="eastAsia" w:ascii="仿宋" w:hAnsi="仿宋" w:eastAsia="仿宋" w:cs="仿宋"/>
          <w:color w:val="000000" w:themeColor="text1"/>
          <w:sz w:val="32"/>
          <w:szCs w:val="28"/>
          <w:highlight w:val="none"/>
          <w:lang w:eastAsia="zh-CN"/>
          <w14:textFill>
            <w14:solidFill>
              <w14:schemeClr w14:val="tx1"/>
            </w14:solidFill>
          </w14:textFill>
        </w:rPr>
        <w:t>中共重庆市委金融委员会办公室</w:t>
      </w:r>
    </w:p>
    <w:p w14:paraId="57561D3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BD9B608">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35E14F32">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3CF551C">
      <w:pPr>
        <w:pStyle w:val="13"/>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000000" w:themeColor="text1"/>
          <w:highlight w:val="none"/>
          <w:lang w:val="en-US" w:eastAsia="zh-CN"/>
          <w14:textFill>
            <w14:solidFill>
              <w14:schemeClr w14:val="tx1"/>
            </w14:solidFill>
          </w14:textFill>
        </w:rPr>
      </w:pPr>
    </w:p>
    <w:p w14:paraId="42A02F37">
      <w:pPr>
        <w:pStyle w:val="2"/>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000000" w:themeColor="text1"/>
          <w:highlight w:val="none"/>
          <w:lang w:val="en-US" w:eastAsia="zh-CN"/>
          <w14:textFill>
            <w14:solidFill>
              <w14:schemeClr w14:val="tx1"/>
            </w14:solidFill>
          </w14:textFill>
        </w:rPr>
      </w:pPr>
    </w:p>
    <w:p w14:paraId="7C47354F">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0FD3C1D">
      <w:pPr>
        <w:pStyle w:val="13"/>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000000" w:themeColor="text1"/>
          <w:highlight w:val="none"/>
          <w:lang w:val="en-US" w:eastAsia="zh-CN"/>
          <w14:textFill>
            <w14:solidFill>
              <w14:schemeClr w14:val="tx1"/>
            </w14:solidFill>
          </w14:textFill>
        </w:rPr>
      </w:pPr>
    </w:p>
    <w:p w14:paraId="0BED5534">
      <w:pPr>
        <w:pStyle w:val="2"/>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000000" w:themeColor="text1"/>
          <w:highlight w:val="none"/>
          <w:lang w:val="en-US" w:eastAsia="zh-CN"/>
          <w14:textFill>
            <w14:solidFill>
              <w14:schemeClr w14:val="tx1"/>
            </w14:solidFill>
          </w14:textFill>
        </w:rPr>
      </w:pPr>
    </w:p>
    <w:p w14:paraId="279953B5">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2080181B">
      <w:pPr>
        <w:pStyle w:val="9"/>
        <w:pageBreakBefore w:val="0"/>
        <w:kinsoku/>
        <w:overflowPunct/>
        <w:topLinePunct w:val="0"/>
        <w:autoSpaceDE/>
        <w:autoSpaceDN/>
        <w:bidi w:val="0"/>
        <w:spacing w:after="0" w:line="240" w:lineRule="auto"/>
        <w:textAlignment w:val="auto"/>
        <w:rPr>
          <w:rFonts w:hint="eastAsia" w:ascii="仿宋" w:hAnsi="仿宋" w:eastAsia="仿宋" w:cs="仿宋"/>
          <w:color w:val="000000" w:themeColor="text1"/>
          <w:highlight w:val="none"/>
          <w14:textFill>
            <w14:solidFill>
              <w14:schemeClr w14:val="tx1"/>
            </w14:solidFill>
          </w14:textFill>
        </w:rPr>
      </w:pPr>
    </w:p>
    <w:p w14:paraId="1A6648E1">
      <w:pPr>
        <w:pageBreakBefore w:val="0"/>
        <w:kinsoku/>
        <w:overflowPunct/>
        <w:topLinePunct w:val="0"/>
        <w:autoSpaceDE/>
        <w:autoSpaceDN/>
        <w:bidi w:val="0"/>
        <w:spacing w:line="240" w:lineRule="auto"/>
        <w:textAlignment w:val="auto"/>
        <w:rPr>
          <w:rFonts w:hint="eastAsia"/>
          <w:color w:val="000000" w:themeColor="text1"/>
          <w:highlight w:val="none"/>
          <w14:textFill>
            <w14:solidFill>
              <w14:schemeClr w14:val="tx1"/>
            </w14:solidFill>
          </w14:textFill>
        </w:rPr>
      </w:pPr>
    </w:p>
    <w:p w14:paraId="75A8294D">
      <w:pPr>
        <w:pageBreakBefore w:val="0"/>
        <w:kinsoku/>
        <w:overflowPunct/>
        <w:topLinePunct w:val="0"/>
        <w:autoSpaceDE/>
        <w:autoSpaceDN/>
        <w:bidi w:val="0"/>
        <w:spacing w:line="240" w:lineRule="auto"/>
        <w:textAlignment w:val="auto"/>
        <w:rPr>
          <w:rFonts w:hint="eastAsia" w:ascii="仿宋" w:hAnsi="仿宋" w:eastAsia="仿宋" w:cs="仿宋"/>
          <w:color w:val="000000" w:themeColor="text1"/>
          <w:highlight w:val="none"/>
          <w14:textFill>
            <w14:solidFill>
              <w14:schemeClr w14:val="tx1"/>
            </w14:solidFill>
          </w14:textFill>
        </w:rPr>
      </w:pPr>
    </w:p>
    <w:p w14:paraId="1C14B6ED">
      <w:pPr>
        <w:pStyle w:val="9"/>
        <w:pageBreakBefore w:val="0"/>
        <w:kinsoku/>
        <w:overflowPunct/>
        <w:topLinePunct w:val="0"/>
        <w:autoSpaceDE/>
        <w:autoSpaceDN/>
        <w:bidi w:val="0"/>
        <w:spacing w:after="0" w:line="240" w:lineRule="auto"/>
        <w:textAlignment w:val="auto"/>
        <w:rPr>
          <w:rFonts w:hint="eastAsia"/>
          <w:color w:val="000000" w:themeColor="text1"/>
          <w:highlight w:val="none"/>
          <w14:textFill>
            <w14:solidFill>
              <w14:schemeClr w14:val="tx1"/>
            </w14:solidFill>
          </w14:textFill>
        </w:rPr>
      </w:pPr>
    </w:p>
    <w:p w14:paraId="1DA35C4F">
      <w:pPr>
        <w:pageBreakBefore w:val="0"/>
        <w:kinsoku/>
        <w:overflowPunct/>
        <w:topLinePunct w:val="0"/>
        <w:autoSpaceDE/>
        <w:autoSpaceDN/>
        <w:bidi w:val="0"/>
        <w:spacing w:line="240" w:lineRule="auto"/>
        <w:ind w:firstLine="0" w:firstLineChars="0"/>
        <w:jc w:val="both"/>
        <w:textAlignment w:val="auto"/>
        <w:outlineLvl w:val="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8"/>
          <w:szCs w:val="22"/>
          <w:highlight w:val="none"/>
          <w14:textFill>
            <w14:solidFill>
              <w14:schemeClr w14:val="tx1"/>
            </w14:solidFill>
          </w14:textFill>
        </w:rPr>
        <w:br w:type="page"/>
      </w:r>
      <w:r>
        <w:rPr>
          <w:rFonts w:hint="eastAsia" w:ascii="仿宋" w:hAnsi="仿宋" w:eastAsia="仿宋" w:cs="仿宋"/>
          <w:b/>
          <w:color w:val="000000" w:themeColor="text1"/>
          <w:sz w:val="28"/>
          <w:szCs w:val="22"/>
          <w:highlight w:val="none"/>
          <w14:textFill>
            <w14:solidFill>
              <w14:schemeClr w14:val="tx1"/>
            </w14:solidFill>
          </w14:textFill>
        </w:rPr>
        <w:t>一、项目内容</w:t>
      </w:r>
    </w:p>
    <w:tbl>
      <w:tblPr>
        <w:tblStyle w:val="18"/>
        <w:tblW w:w="8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9"/>
        <w:gridCol w:w="1582"/>
        <w:gridCol w:w="2832"/>
        <w:gridCol w:w="1284"/>
      </w:tblGrid>
      <w:tr w14:paraId="5FCA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049" w:type="dxa"/>
            <w:vAlign w:val="center"/>
          </w:tcPr>
          <w:p w14:paraId="6E54C91C">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项目名称</w:t>
            </w:r>
          </w:p>
        </w:tc>
        <w:tc>
          <w:tcPr>
            <w:tcW w:w="1582" w:type="dxa"/>
            <w:vAlign w:val="center"/>
          </w:tcPr>
          <w:p w14:paraId="312CD662">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最高限价</w:t>
            </w:r>
          </w:p>
          <w:p w14:paraId="6B66DE93">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（折扣率）</w:t>
            </w:r>
          </w:p>
        </w:tc>
        <w:tc>
          <w:tcPr>
            <w:tcW w:w="2832" w:type="dxa"/>
            <w:vAlign w:val="center"/>
          </w:tcPr>
          <w:p w14:paraId="1E67D2A6">
            <w:pPr>
              <w:pageBreakBefore w:val="0"/>
              <w:kinsoku/>
              <w:overflowPunct/>
              <w:topLinePunct w:val="0"/>
              <w:autoSpaceDE/>
              <w:autoSpaceDN/>
              <w:bidi w:val="0"/>
              <w:spacing w:line="240" w:lineRule="auto"/>
              <w:ind w:left="0" w:leftChars="0" w:firstLine="0" w:firstLineChars="0"/>
              <w:jc w:val="center"/>
              <w:textAlignment w:val="auto"/>
              <w:rPr>
                <w:rFonts w:hint="eastAsia" w:ascii="仿宋" w:hAnsi="仿宋" w:eastAsia="仿宋" w:cs="仿宋"/>
                <w:b w:val="0"/>
                <w:bCs/>
                <w:color w:val="000000" w:themeColor="text1"/>
                <w:szCs w:val="28"/>
                <w:highlight w:val="none"/>
                <w14:textFill>
                  <w14:solidFill>
                    <w14:schemeClr w14:val="tx1"/>
                  </w14:solidFill>
                </w14:textFill>
              </w:rPr>
            </w:pPr>
            <w:r>
              <w:rPr>
                <w:rFonts w:hint="eastAsia" w:ascii="仿宋" w:hAnsi="仿宋" w:eastAsia="仿宋" w:cs="仿宋"/>
                <w:b w:val="0"/>
                <w:bCs/>
                <w:color w:val="000000" w:themeColor="text1"/>
                <w:kern w:val="0"/>
                <w:sz w:val="24"/>
                <w:szCs w:val="24"/>
                <w:highlight w:val="none"/>
                <w:lang w:val="en-US" w:eastAsia="zh-CN"/>
                <w14:textFill>
                  <w14:solidFill>
                    <w14:schemeClr w14:val="tx1"/>
                  </w14:solidFill>
                </w14:textFill>
              </w:rPr>
              <w:t>服务期</w:t>
            </w:r>
          </w:p>
        </w:tc>
        <w:tc>
          <w:tcPr>
            <w:tcW w:w="1284" w:type="dxa"/>
            <w:vAlign w:val="center"/>
          </w:tcPr>
          <w:p w14:paraId="4E3485FB">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仿宋"/>
                <w:b w:val="0"/>
                <w:bCs/>
                <w:color w:val="000000" w:themeColor="text1"/>
                <w:szCs w:val="28"/>
                <w:highlight w:val="none"/>
                <w14:textFill>
                  <w14:solidFill>
                    <w14:schemeClr w14:val="tx1"/>
                  </w14:solidFill>
                </w14:textFill>
              </w:rPr>
            </w:pPr>
            <w:r>
              <w:rPr>
                <w:rFonts w:hint="eastAsia" w:ascii="仿宋" w:hAnsi="仿宋" w:eastAsia="仿宋" w:cs="仿宋"/>
                <w:b w:val="0"/>
                <w:bCs/>
                <w:color w:val="000000" w:themeColor="text1"/>
                <w:kern w:val="0"/>
                <w:sz w:val="24"/>
                <w:szCs w:val="24"/>
                <w:highlight w:val="none"/>
                <w:lang w:val="en-US" w:eastAsia="zh-CN"/>
                <w14:textFill>
                  <w14:solidFill>
                    <w14:schemeClr w14:val="tx1"/>
                  </w14:solidFill>
                </w14:textFill>
              </w:rPr>
              <w:t>中标机构（家）</w:t>
            </w:r>
          </w:p>
        </w:tc>
      </w:tr>
      <w:tr w14:paraId="2636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049" w:type="dxa"/>
            <w:vAlign w:val="center"/>
          </w:tcPr>
          <w:p w14:paraId="043D1DBC">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Cs w:val="28"/>
                <w:highlight w:val="none"/>
                <w:lang w:eastAsia="zh-CN"/>
                <w14:textFill>
                  <w14:solidFill>
                    <w14:schemeClr w14:val="tx1"/>
                  </w14:solidFill>
                </w14:textFill>
              </w:rPr>
            </w:pPr>
            <w:r>
              <w:rPr>
                <w:rFonts w:hint="eastAsia" w:ascii="仿宋" w:hAnsi="仿宋" w:eastAsia="仿宋" w:cs="仿宋"/>
                <w:color w:val="000000" w:themeColor="text1"/>
                <w:szCs w:val="28"/>
                <w:highlight w:val="none"/>
                <w:lang w:eastAsia="zh-CN"/>
                <w14:textFill>
                  <w14:solidFill>
                    <w14:schemeClr w14:val="tx1"/>
                  </w14:solidFill>
                </w14:textFill>
              </w:rPr>
              <w:t>2026年度地方金融组织现场检查项目选取代理机构</w:t>
            </w:r>
          </w:p>
        </w:tc>
        <w:tc>
          <w:tcPr>
            <w:tcW w:w="1582" w:type="dxa"/>
            <w:vAlign w:val="center"/>
          </w:tcPr>
          <w:p w14:paraId="47B7A294">
            <w:pPr>
              <w:pageBreakBefore w:val="0"/>
              <w:kinsoku/>
              <w:overflowPunct/>
              <w:topLinePunct w:val="0"/>
              <w:autoSpaceDE/>
              <w:autoSpaceDN/>
              <w:bidi w:val="0"/>
              <w:spacing w:line="240" w:lineRule="auto"/>
              <w:jc w:val="both"/>
              <w:textAlignment w:val="auto"/>
              <w:rPr>
                <w:rFonts w:hint="default" w:ascii="仿宋" w:hAnsi="仿宋" w:eastAsia="仿宋" w:cs="仿宋"/>
                <w:color w:val="000000" w:themeColor="text1"/>
                <w:szCs w:val="28"/>
                <w:highlight w:val="none"/>
                <w:lang w:val="en-US" w:eastAsia="zh-CN"/>
                <w14:textFill>
                  <w14:solidFill>
                    <w14:schemeClr w14:val="tx1"/>
                  </w14:solidFill>
                </w14:textFill>
              </w:rPr>
            </w:pPr>
            <w:r>
              <w:rPr>
                <w:rFonts w:hint="eastAsia" w:ascii="仿宋" w:hAnsi="仿宋" w:eastAsia="仿宋" w:cs="仿宋"/>
                <w:color w:val="000000" w:themeColor="text1"/>
                <w:szCs w:val="28"/>
                <w:highlight w:val="none"/>
                <w:lang w:val="en-US" w:eastAsia="zh-CN"/>
                <w14:textFill>
                  <w14:solidFill>
                    <w14:schemeClr w14:val="tx1"/>
                  </w14:solidFill>
                </w14:textFill>
              </w:rPr>
              <w:t>100%</w:t>
            </w:r>
          </w:p>
        </w:tc>
        <w:tc>
          <w:tcPr>
            <w:tcW w:w="2832" w:type="dxa"/>
            <w:vAlign w:val="center"/>
          </w:tcPr>
          <w:p w14:paraId="7F55C828">
            <w:pPr>
              <w:pageBreakBefore w:val="0"/>
              <w:widowControl/>
              <w:kinsoku/>
              <w:overflowPunct/>
              <w:topLinePunct w:val="0"/>
              <w:autoSpaceDE/>
              <w:autoSpaceDN/>
              <w:bidi w:val="0"/>
              <w:spacing w:line="240" w:lineRule="auto"/>
              <w:ind w:left="0" w:leftChars="0" w:firstLine="0" w:firstLineChars="0"/>
              <w:jc w:val="both"/>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自合同签订之日起至本项目招标代理工作全部完成并移交归档资料止</w:t>
            </w:r>
          </w:p>
        </w:tc>
        <w:tc>
          <w:tcPr>
            <w:tcW w:w="1284" w:type="dxa"/>
            <w:vAlign w:val="center"/>
          </w:tcPr>
          <w:p w14:paraId="4B745B02">
            <w:pPr>
              <w:pageBreakBefore w:val="0"/>
              <w:kinsoku/>
              <w:overflowPunct/>
              <w:topLinePunct w:val="0"/>
              <w:autoSpaceDE/>
              <w:autoSpaceDN/>
              <w:bidi w:val="0"/>
              <w:spacing w:line="240" w:lineRule="auto"/>
              <w:ind w:firstLine="480" w:firstLineChars="200"/>
              <w:jc w:val="both"/>
              <w:textAlignment w:val="auto"/>
              <w:rPr>
                <w:rFonts w:hint="eastAsia" w:ascii="仿宋" w:hAnsi="仿宋" w:eastAsia="仿宋" w:cs="仿宋"/>
                <w:color w:val="000000" w:themeColor="text1"/>
                <w:szCs w:val="28"/>
                <w:highlight w:val="none"/>
                <w:lang w:val="en-US" w:eastAsia="zh-CN"/>
                <w14:textFill>
                  <w14:solidFill>
                    <w14:schemeClr w14:val="tx1"/>
                  </w14:solidFill>
                </w14:textFill>
              </w:rPr>
            </w:pPr>
            <w:r>
              <w:rPr>
                <w:rFonts w:hint="eastAsia" w:ascii="仿宋" w:hAnsi="仿宋" w:eastAsia="仿宋" w:cs="仿宋"/>
                <w:color w:val="000000" w:themeColor="text1"/>
                <w:szCs w:val="28"/>
                <w:highlight w:val="none"/>
                <w:lang w:val="en-US" w:eastAsia="zh-CN"/>
                <w14:textFill>
                  <w14:solidFill>
                    <w14:schemeClr w14:val="tx1"/>
                  </w14:solidFill>
                </w14:textFill>
              </w:rPr>
              <w:t>1</w:t>
            </w:r>
          </w:p>
        </w:tc>
      </w:tr>
    </w:tbl>
    <w:p w14:paraId="53801188">
      <w:pPr>
        <w:pStyle w:val="5"/>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r>
        <w:rPr>
          <w:rFonts w:hint="eastAsia" w:ascii="仿宋" w:hAnsi="仿宋" w:eastAsia="仿宋" w:cs="仿宋"/>
          <w:color w:val="000000" w:themeColor="text1"/>
          <w:sz w:val="28"/>
          <w:szCs w:val="22"/>
          <w:highlight w:val="none"/>
          <w14:textFill>
            <w14:solidFill>
              <w14:schemeClr w14:val="tx1"/>
            </w14:solidFill>
          </w14:textFill>
        </w:rPr>
        <w:t>二、资格条件</w:t>
      </w:r>
    </w:p>
    <w:p w14:paraId="5E3754EA">
      <w:pPr>
        <w:pageBreakBefore w:val="0"/>
        <w:widowControl/>
        <w:kinsoku/>
        <w:wordWrap w:val="0"/>
        <w:overflowPunct/>
        <w:topLinePunct w:val="0"/>
        <w:autoSpaceDE/>
        <w:autoSpaceDN/>
        <w:bidi w:val="0"/>
        <w:spacing w:line="240" w:lineRule="auto"/>
        <w:ind w:firstLine="482"/>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（一）一般资质条件</w:t>
      </w:r>
    </w:p>
    <w:p w14:paraId="6F1368F5">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1.具有独立承担民事责任的能力；</w:t>
      </w:r>
    </w:p>
    <w:p w14:paraId="5894CCC4">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2.具有良好的商业信誉和健全的财务会计制度；</w:t>
      </w:r>
    </w:p>
    <w:p w14:paraId="4BDCBAE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3.具有履行合同所必需的设备和专业技术能力；</w:t>
      </w:r>
    </w:p>
    <w:p w14:paraId="647803C3">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4.有依法缴纳税收和社会保障资金的良好记录；</w:t>
      </w:r>
    </w:p>
    <w:p w14:paraId="27DC1477">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5.参加采购活动前三年内，在经营活动中没有重大违法记录；</w:t>
      </w:r>
    </w:p>
    <w:p w14:paraId="5D47495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6.法律、行政法规规定的其他条件。</w:t>
      </w:r>
    </w:p>
    <w:p w14:paraId="37D49121">
      <w:pPr>
        <w:pageBreakBefore w:val="0"/>
        <w:widowControl/>
        <w:kinsoku/>
        <w:wordWrap w:val="0"/>
        <w:overflowPunct/>
        <w:topLinePunct w:val="0"/>
        <w:autoSpaceDE/>
        <w:autoSpaceDN/>
        <w:bidi w:val="0"/>
        <w:spacing w:line="240" w:lineRule="auto"/>
        <w:ind w:firstLine="482"/>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（二）特定资格条件</w:t>
      </w:r>
    </w:p>
    <w:p w14:paraId="325374E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供应商应为重庆市政府采购代理机构库的成员。（响应文件提供证明材料复印件并加盖供应商公章）</w:t>
      </w:r>
    </w:p>
    <w:p w14:paraId="045A5389">
      <w:pPr>
        <w:pStyle w:val="5"/>
        <w:pageBreakBefore w:val="0"/>
        <w:widowControl/>
        <w:numPr>
          <w:ilvl w:val="0"/>
          <w:numId w:val="0"/>
        </w:numPr>
        <w:kinsoku/>
        <w:overflowPunct/>
        <w:topLinePunct w:val="0"/>
        <w:autoSpaceDE/>
        <w:autoSpaceDN/>
        <w:bidi w:val="0"/>
        <w:spacing w:before="0" w:after="0" w:line="240" w:lineRule="auto"/>
        <w:ind w:firstLine="281" w:firstLineChars="100"/>
        <w:textAlignment w:val="auto"/>
        <w:rPr>
          <w:rFonts w:hint="eastAsia" w:ascii="仿宋" w:hAnsi="仿宋" w:eastAsia="仿宋" w:cs="仿宋"/>
          <w:color w:val="000000" w:themeColor="text1"/>
          <w:sz w:val="28"/>
          <w:szCs w:val="22"/>
          <w:highlight w:val="none"/>
          <w14:textFill>
            <w14:solidFill>
              <w14:schemeClr w14:val="tx1"/>
            </w14:solidFill>
          </w14:textFill>
        </w:rPr>
      </w:pPr>
      <w:r>
        <w:rPr>
          <w:rFonts w:hint="eastAsia" w:ascii="仿宋" w:hAnsi="仿宋" w:eastAsia="仿宋" w:cs="仿宋"/>
          <w:b/>
          <w:color w:val="000000" w:themeColor="text1"/>
          <w:sz w:val="28"/>
          <w:szCs w:val="22"/>
          <w:highlight w:val="none"/>
          <w:lang w:val="en-US" w:eastAsia="zh-CN"/>
          <w14:textFill>
            <w14:solidFill>
              <w14:schemeClr w14:val="tx1"/>
            </w14:solidFill>
          </w14:textFill>
        </w:rPr>
        <w:t>三、</w:t>
      </w:r>
      <w:r>
        <w:rPr>
          <w:rFonts w:hint="eastAsia" w:ascii="仿宋" w:hAnsi="仿宋" w:eastAsia="仿宋" w:cs="仿宋"/>
          <w:b/>
          <w:color w:val="000000" w:themeColor="text1"/>
          <w:sz w:val="28"/>
          <w:szCs w:val="22"/>
          <w:highlight w:val="none"/>
          <w14:textFill>
            <w14:solidFill>
              <w14:schemeClr w14:val="tx1"/>
            </w14:solidFill>
          </w14:textFill>
        </w:rPr>
        <w:t>项目技术要</w:t>
      </w:r>
      <w:r>
        <w:rPr>
          <w:rFonts w:hint="eastAsia" w:ascii="仿宋" w:hAnsi="仿宋" w:eastAsia="仿宋" w:cs="仿宋"/>
          <w:color w:val="000000" w:themeColor="text1"/>
          <w:sz w:val="28"/>
          <w:szCs w:val="22"/>
          <w:highlight w:val="none"/>
          <w14:textFill>
            <w14:solidFill>
              <w14:schemeClr w14:val="tx1"/>
            </w14:solidFill>
          </w14:textFill>
        </w:rPr>
        <w:t>求</w:t>
      </w:r>
    </w:p>
    <w:p w14:paraId="52A12B1B">
      <w:pPr>
        <w:pageBreakBefore w:val="0"/>
        <w:widowControl/>
        <w:kinsoku/>
        <w:overflowPunct/>
        <w:topLinePunct w:val="0"/>
        <w:autoSpaceDE/>
        <w:autoSpaceDN/>
        <w:bidi w:val="0"/>
        <w:spacing w:line="240" w:lineRule="auto"/>
        <w:jc w:val="left"/>
        <w:textAlignment w:val="auto"/>
        <w:rPr>
          <w:rFonts w:hint="default" w:ascii="仿宋" w:hAnsi="仿宋" w:eastAsia="仿宋" w:cs="仿宋"/>
          <w:b/>
          <w:bCs/>
          <w:color w:val="000000" w:themeColor="text1"/>
          <w:sz w:val="24"/>
          <w:szCs w:val="24"/>
          <w:highlight w:val="none"/>
          <w:lang w:val="en-US" w:eastAsia="zh-CN"/>
          <w14:textFill>
            <w14:solidFill>
              <w14:schemeClr w14:val="tx1"/>
            </w14:solidFill>
          </w14:textFill>
        </w:rPr>
      </w:pPr>
      <w:bookmarkStart w:id="0" w:name="_Toc21936"/>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default" w:ascii="仿宋" w:hAnsi="仿宋" w:eastAsia="仿宋" w:cs="仿宋"/>
          <w:b/>
          <w:bCs/>
          <w:color w:val="000000" w:themeColor="text1"/>
          <w:sz w:val="24"/>
          <w:szCs w:val="24"/>
          <w:highlight w:val="none"/>
          <w:lang w:val="en-US" w:eastAsia="zh-CN"/>
          <w14:textFill>
            <w14:solidFill>
              <w14:schemeClr w14:val="tx1"/>
            </w14:solidFill>
          </w14:textFill>
        </w:rPr>
        <w:t>服务内容</w:t>
      </w:r>
    </w:p>
    <w:p w14:paraId="0728F3E0">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default" w:ascii="仿宋" w:hAnsi="仿宋" w:eastAsia="仿宋" w:cs="仿宋"/>
          <w:color w:val="000000" w:themeColor="text1"/>
          <w:highlight w:val="none"/>
          <w:lang w:val="en-US" w:eastAsia="zh-CN"/>
          <w14:textFill>
            <w14:solidFill>
              <w14:schemeClr w14:val="tx1"/>
            </w14:solidFill>
          </w14:textFill>
        </w:rPr>
        <w:t>负责编制采购文件（含澄清、补遗文件）；</w:t>
      </w:r>
    </w:p>
    <w:p w14:paraId="51AB1CB1">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w:t>
      </w:r>
      <w:r>
        <w:rPr>
          <w:rFonts w:hint="default" w:ascii="仿宋" w:hAnsi="仿宋" w:eastAsia="仿宋" w:cs="仿宋"/>
          <w:color w:val="000000" w:themeColor="text1"/>
          <w:highlight w:val="none"/>
          <w:lang w:val="en-US" w:eastAsia="zh-CN"/>
          <w14:textFill>
            <w14:solidFill>
              <w14:schemeClr w14:val="tx1"/>
            </w14:solidFill>
          </w14:textFill>
        </w:rPr>
        <w:t>根据采购人需求编写采购公告并发布采购信息；</w:t>
      </w:r>
    </w:p>
    <w:p w14:paraId="2CBAE4EC">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3.</w:t>
      </w:r>
      <w:r>
        <w:rPr>
          <w:rFonts w:hint="default" w:ascii="仿宋" w:hAnsi="仿宋" w:eastAsia="仿宋" w:cs="仿宋"/>
          <w:color w:val="000000" w:themeColor="text1"/>
          <w:highlight w:val="none"/>
          <w:lang w:val="en-US" w:eastAsia="zh-CN"/>
          <w14:textFill>
            <w14:solidFill>
              <w14:schemeClr w14:val="tx1"/>
            </w14:solidFill>
          </w14:textFill>
        </w:rPr>
        <w:t>负责采购文件的发售、开标、评标组织，编写评标报告及公示；</w:t>
      </w:r>
    </w:p>
    <w:p w14:paraId="7C9E72FF">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w:t>
      </w:r>
      <w:r>
        <w:rPr>
          <w:rFonts w:hint="default" w:ascii="仿宋" w:hAnsi="仿宋" w:eastAsia="仿宋" w:cs="仿宋"/>
          <w:color w:val="000000" w:themeColor="text1"/>
          <w:highlight w:val="none"/>
          <w:lang w:val="en-US" w:eastAsia="zh-CN"/>
          <w14:textFill>
            <w14:solidFill>
              <w14:schemeClr w14:val="tx1"/>
            </w14:solidFill>
          </w14:textFill>
        </w:rPr>
        <w:t>负责组织答疑会或书面答疑，整理答疑资料作为采购文件补充；</w:t>
      </w:r>
    </w:p>
    <w:p w14:paraId="7D526386">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w:t>
      </w:r>
      <w:r>
        <w:rPr>
          <w:rFonts w:hint="default" w:ascii="仿宋" w:hAnsi="仿宋" w:eastAsia="仿宋" w:cs="仿宋"/>
          <w:color w:val="000000" w:themeColor="text1"/>
          <w:highlight w:val="none"/>
          <w:lang w:val="en-US" w:eastAsia="zh-CN"/>
          <w14:textFill>
            <w14:solidFill>
              <w14:schemeClr w14:val="tx1"/>
            </w14:solidFill>
          </w14:textFill>
        </w:rPr>
        <w:t>组织或协助组织评审专家，支付专家劳务费；</w:t>
      </w:r>
    </w:p>
    <w:p w14:paraId="5CCFB313">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6.</w:t>
      </w:r>
      <w:r>
        <w:rPr>
          <w:rFonts w:hint="default" w:ascii="仿宋" w:hAnsi="仿宋" w:eastAsia="仿宋" w:cs="仿宋"/>
          <w:color w:val="000000" w:themeColor="text1"/>
          <w:highlight w:val="none"/>
          <w:lang w:val="en-US" w:eastAsia="zh-CN"/>
          <w14:textFill>
            <w14:solidFill>
              <w14:schemeClr w14:val="tx1"/>
            </w14:solidFill>
          </w14:textFill>
        </w:rPr>
        <w:t>办理投标保证金收取和退还事宜；</w:t>
      </w:r>
    </w:p>
    <w:p w14:paraId="22A13694">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w:t>
      </w:r>
      <w:r>
        <w:rPr>
          <w:rFonts w:hint="default" w:ascii="仿宋" w:hAnsi="仿宋" w:eastAsia="仿宋" w:cs="仿宋"/>
          <w:color w:val="000000" w:themeColor="text1"/>
          <w:highlight w:val="none"/>
          <w:lang w:val="en-US" w:eastAsia="zh-CN"/>
          <w14:textFill>
            <w14:solidFill>
              <w14:schemeClr w14:val="tx1"/>
            </w14:solidFill>
          </w14:textFill>
        </w:rPr>
        <w:t>整理归档全部采购资料，于确定成交人后向采购人移交完整的书面报告；</w:t>
      </w:r>
    </w:p>
    <w:p w14:paraId="04532756">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8.</w:t>
      </w:r>
      <w:r>
        <w:rPr>
          <w:rFonts w:hint="default" w:ascii="仿宋" w:hAnsi="仿宋" w:eastAsia="仿宋" w:cs="仿宋"/>
          <w:color w:val="000000" w:themeColor="text1"/>
          <w:highlight w:val="none"/>
          <w:lang w:val="en-US" w:eastAsia="zh-CN"/>
          <w14:textFill>
            <w14:solidFill>
              <w14:schemeClr w14:val="tx1"/>
            </w14:solidFill>
          </w14:textFill>
        </w:rPr>
        <w:t>协助采购人签订采购合同并公示；</w:t>
      </w:r>
    </w:p>
    <w:p w14:paraId="696A79A5">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9.</w:t>
      </w:r>
      <w:r>
        <w:rPr>
          <w:rFonts w:hint="default" w:ascii="仿宋" w:hAnsi="仿宋" w:eastAsia="仿宋" w:cs="仿宋"/>
          <w:color w:val="000000" w:themeColor="text1"/>
          <w:highlight w:val="none"/>
          <w:lang w:val="en-US" w:eastAsia="zh-CN"/>
          <w14:textFill>
            <w14:solidFill>
              <w14:schemeClr w14:val="tx1"/>
            </w14:solidFill>
          </w14:textFill>
        </w:rPr>
        <w:t>协助处理质疑投诉；</w:t>
      </w:r>
    </w:p>
    <w:p w14:paraId="3056D57C">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10</w:t>
      </w:r>
      <w:r>
        <w:rPr>
          <w:rFonts w:hint="default" w:ascii="仿宋" w:hAnsi="仿宋" w:eastAsia="仿宋" w:cs="仿宋"/>
          <w:color w:val="000000" w:themeColor="text1"/>
          <w:highlight w:val="none"/>
          <w:lang w:val="en-US" w:eastAsia="zh-CN"/>
          <w14:textFill>
            <w14:solidFill>
              <w14:schemeClr w14:val="tx1"/>
            </w14:solidFill>
          </w14:textFill>
        </w:rPr>
        <w:t>完成采购人交办的其他相关事项。</w:t>
      </w:r>
    </w:p>
    <w:p w14:paraId="1EC90B0E">
      <w:pPr>
        <w:pageBreakBefore w:val="0"/>
        <w:widowControl/>
        <w:kinsoku/>
        <w:overflowPunct/>
        <w:topLinePunct w:val="0"/>
        <w:autoSpaceDE/>
        <w:autoSpaceDN/>
        <w:bidi w:val="0"/>
        <w:spacing w:line="240" w:lineRule="auto"/>
        <w:ind w:firstLine="482" w:firstLineChars="200"/>
        <w:textAlignment w:val="auto"/>
        <w:rPr>
          <w:rFonts w:hint="default"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default" w:ascii="仿宋" w:hAnsi="仿宋" w:eastAsia="仿宋" w:cs="仿宋"/>
          <w:b/>
          <w:bCs/>
          <w:color w:val="000000" w:themeColor="text1"/>
          <w:sz w:val="24"/>
          <w:szCs w:val="24"/>
          <w:highlight w:val="none"/>
          <w:lang w:val="en-US" w:eastAsia="zh-CN"/>
          <w14:textFill>
            <w14:solidFill>
              <w14:schemeClr w14:val="tx1"/>
            </w14:solidFill>
          </w14:textFill>
        </w:rPr>
        <w:t>服务要求</w:t>
      </w:r>
    </w:p>
    <w:p w14:paraId="10CB3E89">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采购代理机构必须严格执行国家采购法律法规，自觉接受采购人的业务指导和监督管理，全力维护采购人的合法权益；运用自身的专业技能为采购人做好采购代理工作，并提供与采购项目有关的其它服务。在代理服务中的整个招标采购过程需按照国家和重庆市政府采购相关法律法规的要求，符合代理项目的招标采购流程，不得有营私舞弊的行为。</w:t>
      </w:r>
    </w:p>
    <w:p w14:paraId="7D800D1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2.招标采购过程要做出工作进度表给采购人（若需），让采购人了解整个招标工作的进展情况；在服务期限内，由采购人根据工作的特点和要求具体确定时间，代理机构必须在约定的时间内完成相关工作。</w:t>
      </w:r>
    </w:p>
    <w:p w14:paraId="0C5141BF">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3.采购代理机构向采购人移交的所有有关采购活动的资料，均须通过书面形式移交；采购人向采购代理机构提出的意见建议，采购代理机构应予以审核，如与采购法规不符，采购代理机构应当予以拒绝并提出相应意见，确保代理项目合法、合规。</w:t>
      </w:r>
    </w:p>
    <w:p w14:paraId="35BD169A">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4.采购代理过程中，如遇有投标人质疑、投诉或作出情况说明等，采购代理机构在收到相关资料后，应根据自身专业知识及工作经验，分析原因，向采购人提出合法、合规的处理意见建议，并负责对相关问题进行回复。</w:t>
      </w:r>
    </w:p>
    <w:p w14:paraId="1E929139">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5.采购代理机构必须对采购人单位信息进行保密，在未经采购人事先书面同意的情况下，任何时候均不得将招标信息的任何内容或者从采购人处知晓的关于采购人单位的任何信息泄露给任何其它方。</w:t>
      </w:r>
    </w:p>
    <w:p w14:paraId="32C7BE8E">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6.采购代理机构接受本项目委托后，应充分了解掌握采购项目需求情况，紧贴项目实际拟制各类采购文书，严禁简单套用以往采购文件。采购人将视项目代理质量进行综合评价，若存在严重质量问题，将按合同约定解除服务合同。</w:t>
      </w:r>
    </w:p>
    <w:p w14:paraId="7158BAF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7.采购代理机构须无条件配合采购人接受各级审计、巡视工作；采购资料（含音视频资料）保存期限为招标结束之日起至少15年。</w:t>
      </w:r>
    </w:p>
    <w:p w14:paraId="16643412">
      <w:pPr>
        <w:pageBreakBefore w:val="0"/>
        <w:widowControl/>
        <w:kinsoku/>
        <w:wordWrap w:val="0"/>
        <w:overflowPunct/>
        <w:topLinePunct w:val="0"/>
        <w:autoSpaceDE/>
        <w:autoSpaceDN/>
        <w:bidi w:val="0"/>
        <w:spacing w:line="240" w:lineRule="auto"/>
        <w:ind w:firstLine="562"/>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default" w:ascii="仿宋" w:hAnsi="仿宋" w:eastAsia="仿宋" w:cs="仿宋"/>
          <w:color w:val="000000" w:themeColor="text1"/>
          <w:highlight w:val="none"/>
          <w:lang w:val="en-US" w:eastAsia="zh-CN"/>
          <w14:textFill>
            <w14:solidFill>
              <w14:schemeClr w14:val="tx1"/>
            </w14:solidFill>
          </w14:textFill>
        </w:rPr>
        <w:t>8.采购代理机构须保证本项目实施</w:t>
      </w:r>
      <w:r>
        <w:rPr>
          <w:rFonts w:hint="eastAsia" w:ascii="仿宋" w:hAnsi="仿宋" w:eastAsia="仿宋" w:cs="仿宋"/>
          <w:color w:val="000000" w:themeColor="text1"/>
          <w:highlight w:val="none"/>
          <w:lang w:val="en-US" w:eastAsia="zh-CN"/>
          <w14:textFill>
            <w14:solidFill>
              <w14:schemeClr w14:val="tx1"/>
            </w14:solidFill>
          </w14:textFill>
        </w:rPr>
        <w:t>人员</w:t>
      </w:r>
      <w:r>
        <w:rPr>
          <w:rFonts w:hint="default" w:ascii="仿宋" w:hAnsi="仿宋" w:eastAsia="仿宋" w:cs="仿宋"/>
          <w:color w:val="000000" w:themeColor="text1"/>
          <w:highlight w:val="none"/>
          <w:lang w:val="en-US" w:eastAsia="zh-CN"/>
          <w14:textFill>
            <w14:solidFill>
              <w14:schemeClr w14:val="tx1"/>
            </w14:solidFill>
          </w14:textFill>
        </w:rPr>
        <w:t>的稳定性。除采购人同意或不可抗力外，采购代理机构不得擅自更换本项目的项目负责人及主要经办人员。擅自更换人员的，视为违约，采购人有权按合同约定扣除相应的代理服务费或解除合同。</w:t>
      </w:r>
    </w:p>
    <w:p w14:paraId="1557143A">
      <w:pPr>
        <w:pageBreakBefore w:val="0"/>
        <w:widowControl/>
        <w:kinsoku/>
        <w:wordWrap w:val="0"/>
        <w:overflowPunct/>
        <w:topLinePunct w:val="0"/>
        <w:autoSpaceDE/>
        <w:autoSpaceDN/>
        <w:bidi w:val="0"/>
        <w:spacing w:line="240" w:lineRule="auto"/>
        <w:ind w:firstLine="562"/>
        <w:textAlignment w:val="auto"/>
        <w:rPr>
          <w:rFonts w:hint="eastAsia" w:ascii="仿宋" w:hAnsi="仿宋" w:eastAsia="仿宋" w:cs="仿宋"/>
          <w:b/>
          <w:color w:val="000000" w:themeColor="text1"/>
          <w:sz w:val="28"/>
          <w:szCs w:val="22"/>
          <w:highlight w:val="none"/>
          <w14:textFill>
            <w14:solidFill>
              <w14:schemeClr w14:val="tx1"/>
            </w14:solidFill>
          </w14:textFill>
        </w:rPr>
      </w:pPr>
      <w:r>
        <w:rPr>
          <w:rFonts w:hint="eastAsia" w:ascii="仿宋" w:hAnsi="仿宋" w:eastAsia="仿宋" w:cs="仿宋"/>
          <w:b/>
          <w:color w:val="000000" w:themeColor="text1"/>
          <w:sz w:val="28"/>
          <w:szCs w:val="22"/>
          <w:highlight w:val="none"/>
          <w14:textFill>
            <w14:solidFill>
              <w14:schemeClr w14:val="tx1"/>
            </w14:solidFill>
          </w14:textFill>
        </w:rPr>
        <w:t>四、项目商务要求</w:t>
      </w:r>
    </w:p>
    <w:bookmarkEnd w:id="0"/>
    <w:p w14:paraId="09020717">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bookmarkStart w:id="1" w:name="_Toc514962183"/>
      <w:bookmarkStart w:id="2" w:name="_Toc23014"/>
      <w:bookmarkStart w:id="3" w:name="_Toc11641053"/>
      <w:bookmarkStart w:id="4" w:name="_Toc12789054"/>
      <w:r>
        <w:rPr>
          <w:rFonts w:hint="eastAsia" w:ascii="仿宋" w:hAnsi="仿宋" w:eastAsia="仿宋" w:cs="仿宋"/>
          <w:color w:val="000000" w:themeColor="text1"/>
          <w:highlight w:val="none"/>
          <w:lang w:val="en-US" w:eastAsia="zh-CN"/>
          <w14:textFill>
            <w14:solidFill>
              <w14:schemeClr w14:val="tx1"/>
            </w14:solidFill>
          </w14:textFill>
        </w:rPr>
        <w:t>（一）服务期：自合同签订之日起，至“2026年度地方金融组织现场检查”项目的招标代理工作全部完成（即中标通知书发出、合同签订协助完毕、全套归档资料移交采购人）止。</w:t>
      </w:r>
    </w:p>
    <w:p w14:paraId="63999A98">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（二）服务地点：采购人指定地点。</w:t>
      </w:r>
    </w:p>
    <w:p w14:paraId="6898894A">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（三）验收方式：</w:t>
      </w:r>
      <w:r>
        <w:rPr>
          <w:rFonts w:hint="eastAsia" w:ascii="仿宋" w:hAnsi="仿宋" w:eastAsia="仿宋" w:cs="仿宋"/>
          <w:color w:val="000000" w:themeColor="text1"/>
          <w:highlight w:val="none"/>
          <w:lang w:val="en-US" w:eastAsia="zh-CN"/>
          <w14:textFill>
            <w14:solidFill>
              <w14:schemeClr w14:val="tx1"/>
            </w14:solidFill>
          </w14:textFill>
        </w:rPr>
        <w:t>由采购人组织验收。采购人将按照重庆市政府采购相关法律法规、比选文件及采购代理合同的约定，对采购代理机构的代理服务质量、采购程序执行情况及相关归档资料进行全面验收，并出具书面验收意见。</w:t>
      </w:r>
    </w:p>
    <w:p w14:paraId="2D9D7B6F">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（四）报价要求</w:t>
      </w:r>
    </w:p>
    <w:p w14:paraId="5E448CAE">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本次报价须为人民币报价，包含：服务费、人员工资、专家劳务费、交通费、通讯费、办公费、税费及提供服务所需的其他费用。因中标人自身原因造成漏报、少报皆由中标人自行承担责任，采购人不再补偿。</w:t>
      </w:r>
    </w:p>
    <w:p w14:paraId="32981F2B">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注：代理服务费计价基础参考《招标代理服务收费管理暂行办法》（计价格[2002]1980号）文件，本项目最高限价依照计费标准为100%的折扣率，各单位所投招标代理服务费按照计费标准并结合自身情况，填报折扣作为所投报价；仅取小数点后两位，若有三位及以上数，则四舍五入。</w:t>
      </w:r>
    </w:p>
    <w:p w14:paraId="0884F111">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五</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付款方式</w:t>
      </w:r>
    </w:p>
    <w:p w14:paraId="43E063EF">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val="en-US" w:eastAsia="zh-CN"/>
          <w14:textFill>
            <w14:solidFill>
              <w14:schemeClr w14:val="tx1"/>
            </w14:solidFill>
          </w14:textFill>
        </w:rPr>
        <w:t>2026年度地方金融组织现场检查项目的代理服务费由中标人支付。采购代理机构须在采购文件中说明代理费的收取方式、收费标准、确立标准的依据，并注明供应商报价应包含该代理费；代理费收取情况应随中标结果一并公开。</w:t>
      </w:r>
    </w:p>
    <w:p w14:paraId="710C8E2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2.若因故多次招标，只收取一次代理服务费（按最终成交金额计算）。</w:t>
      </w:r>
    </w:p>
    <w:p w14:paraId="06436370">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136270735"/>
      <w:r>
        <w:rPr>
          <w:rFonts w:hint="eastAsia" w:ascii="仿宋" w:hAnsi="仿宋" w:eastAsia="仿宋" w:cs="仿宋"/>
          <w:color w:val="000000" w:themeColor="text1"/>
          <w:sz w:val="24"/>
          <w:szCs w:val="24"/>
          <w:highlight w:val="none"/>
          <w:lang w:val="en-US" w:eastAsia="zh-CN"/>
          <w14:textFill>
            <w14:solidFill>
              <w14:schemeClr w14:val="tx1"/>
            </w14:solidFill>
          </w14:textFill>
        </w:rPr>
        <w:t>（六）</w:t>
      </w:r>
      <w:r>
        <w:rPr>
          <w:rFonts w:hint="eastAsia" w:ascii="仿宋" w:hAnsi="仿宋" w:eastAsia="仿宋" w:cs="仿宋"/>
          <w:color w:val="000000" w:themeColor="text1"/>
          <w:sz w:val="24"/>
          <w:szCs w:val="24"/>
          <w:highlight w:val="none"/>
          <w14:textFill>
            <w14:solidFill>
              <w14:schemeClr w14:val="tx1"/>
            </w14:solidFill>
          </w14:textFill>
        </w:rPr>
        <w:t>质量保证及售后服务</w:t>
      </w:r>
      <w:bookmarkEnd w:id="5"/>
    </w:p>
    <w:p w14:paraId="302B7361">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）质量保证：符合国家相关法律法规及采购人要求</w:t>
      </w:r>
    </w:p>
    <w:p w14:paraId="1EC3120D">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6" w:name="_Toc21046"/>
      <w:bookmarkStart w:id="7" w:name="_Toc13308"/>
      <w:bookmarkStart w:id="8" w:name="_Toc8474"/>
      <w:bookmarkStart w:id="9" w:name="_Toc29124"/>
      <w:bookmarkStart w:id="10" w:name="_Toc11487"/>
      <w:bookmarkStart w:id="11" w:name="_Toc24610"/>
      <w:bookmarkStart w:id="12" w:name="_Toc30174"/>
      <w:bookmarkStart w:id="13" w:name="_Toc1986"/>
      <w:bookmarkStart w:id="14" w:name="_Toc16719"/>
      <w:bookmarkStart w:id="15" w:name="_Toc11581"/>
      <w:bookmarkStart w:id="16" w:name="_Toc15564"/>
      <w:bookmarkStart w:id="17" w:name="_Toc31803"/>
      <w:bookmarkStart w:id="18" w:name="_Toc19929"/>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）服务内容</w:t>
      </w:r>
      <w:bookmarkEnd w:id="6"/>
      <w:bookmarkEnd w:id="7"/>
      <w:bookmarkEnd w:id="8"/>
      <w:bookmarkEnd w:id="9"/>
      <w:bookmarkEnd w:id="10"/>
      <w:bookmarkEnd w:id="11"/>
      <w:bookmarkEnd w:id="12"/>
      <w:bookmarkEnd w:id="13"/>
      <w:bookmarkEnd w:id="14"/>
      <w:bookmarkEnd w:id="15"/>
      <w:bookmarkEnd w:id="16"/>
      <w:bookmarkEnd w:id="17"/>
      <w:bookmarkEnd w:id="18"/>
    </w:p>
    <w:p w14:paraId="2076EF7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供应商在质量保证期内应当为采购人提供以下技术支持服务：</w:t>
      </w:r>
    </w:p>
    <w:p w14:paraId="1CA173D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1.质量保证期内服务要求</w:t>
      </w:r>
    </w:p>
    <w:p w14:paraId="6B4489A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1.1电话咨询</w:t>
      </w:r>
    </w:p>
    <w:p w14:paraId="138A510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成交供应商应当为采购人提供专业咨询电话服务，解答在招标过程中遇到的问题，及时为用户提出解决问题的建议。</w:t>
      </w:r>
    </w:p>
    <w:p w14:paraId="50A5089F">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1.2现场响应</w:t>
      </w:r>
    </w:p>
    <w:p w14:paraId="40D20C48">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采购人遇到问题，电话咨询不能解决的，成交供应商应在4小时内派出专业人员现场支持。</w:t>
      </w:r>
    </w:p>
    <w:p w14:paraId="040DBDA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2.服务期外要求</w:t>
      </w:r>
    </w:p>
    <w:p w14:paraId="5860EB26">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服务期过后，成交供应商应按有关规定留存相关招标过程资料，必要时提供电话咨询、解答服务。</w:t>
      </w:r>
    </w:p>
    <w:p w14:paraId="328284C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（七）违约责任</w:t>
      </w:r>
    </w:p>
    <w:p w14:paraId="51846C3E">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采购代理机构被查证存在弄虚作假、提供不实资料等方式骗取中标的，采购人将解除其服务合同。</w:t>
      </w:r>
    </w:p>
    <w:p w14:paraId="12E8A7B5">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采购代理机构及其工作人员有违反国家有关法律法规行为的，采购人有权单方面终止服务合同，将采购代理机构纳入采购人采购代理黑名单，终身不得参与采购人采购代理工作，并通报有关部门，依照相关法律法规进行处理；涉嫌犯罪的，依法移交司法机关处理。采购代理机构的违法行为给他人造成损失的，应自行依法承担民事责任。</w:t>
      </w:r>
    </w:p>
    <w:p w14:paraId="265FD70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采购代理机构存在《政府采购货物和服务招标投标管理办法》（财政部令第87号）第七十八条中所列明的违法行为情形之一的，采购人有权单方面终止服务合同，并将其违法行为通报有关部门，由有关部门责令限期整改，情节严重的，给予警告，对直接负责的主管人员和其他直接责任人员，由其行政主管部门或者有关机关给予处分，并予通报；采购代理机构有违法所得的，没收违法所得。</w:t>
      </w:r>
    </w:p>
    <w:p w14:paraId="3EB73A4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采购代理机构在采购代理过程中，如不按照本文件要求的服务内容、服务要求等提供采购代理服务，且经采购人书面通知要求整改而未整改的，采购人有权单方面终止服务合同。</w:t>
      </w:r>
    </w:p>
    <w:p w14:paraId="2BC0FCB6">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采购代理机构转包或未经采购人同意分包承接项目的，采购人将解除其服务合同。</w:t>
      </w:r>
    </w:p>
    <w:p w14:paraId="31FE098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14:textFill>
            <w14:solidFill>
              <w14:schemeClr w14:val="tx1"/>
            </w14:solidFill>
          </w14:textFill>
        </w:rPr>
        <w:t>采购代理机构受到行政严重处罚或被司法机关认定存在商业贿赂等违法行为，采购人将解除其服务合同。</w:t>
      </w:r>
    </w:p>
    <w:p w14:paraId="386EA7E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如国家及本市相关法律法规发生变化或与现行法律法规有冲突，则按相关法律法规执行，采购人有权终止合同。</w:t>
      </w:r>
    </w:p>
    <w:p w14:paraId="4DBB2499">
      <w:pPr>
        <w:pageBreakBefore w:val="0"/>
        <w:widowControl/>
        <w:kinsoku/>
        <w:wordWrap w:val="0"/>
        <w:overflowPunct/>
        <w:topLinePunct w:val="0"/>
        <w:autoSpaceDE/>
        <w:autoSpaceDN/>
        <w:bidi w:val="0"/>
        <w:spacing w:line="240" w:lineRule="auto"/>
        <w:ind w:firstLine="562"/>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b/>
          <w:bCs/>
          <w:color w:val="000000" w:themeColor="text1"/>
          <w:sz w:val="28"/>
          <w:szCs w:val="28"/>
          <w:highlight w:val="none"/>
          <w14:textFill>
            <w14:solidFill>
              <w14:schemeClr w14:val="tx1"/>
            </w14:solidFill>
          </w14:textFill>
        </w:rPr>
        <w:t>、其他</w:t>
      </w:r>
    </w:p>
    <w:p w14:paraId="45C92CB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其他未尽事宜由供需双方在采购合同中详细约定。</w:t>
      </w:r>
      <w:bookmarkStart w:id="19" w:name="_Hlt41879464"/>
      <w:bookmarkEnd w:id="19"/>
    </w:p>
    <w:p w14:paraId="5D58CBDC">
      <w:pPr>
        <w:pStyle w:val="30"/>
        <w:pageBreakBefore w:val="0"/>
        <w:widowControl/>
        <w:numPr>
          <w:ilvl w:val="0"/>
          <w:numId w:val="2"/>
        </w:numPr>
        <w:kinsoku/>
        <w:wordWrap w:val="0"/>
        <w:overflowPunct/>
        <w:topLinePunct w:val="0"/>
        <w:autoSpaceDE/>
        <w:autoSpaceDN/>
        <w:bidi w:val="0"/>
        <w:spacing w:line="240" w:lineRule="auto"/>
        <w:ind w:firstLineChars="0"/>
        <w:textAlignment w:val="auto"/>
        <w:rPr>
          <w:rFonts w:hint="eastAsia" w:ascii="仿宋" w:hAnsi="仿宋" w:eastAsia="仿宋" w:cs="仿宋"/>
          <w:b/>
          <w:bCs/>
          <w:color w:val="000000" w:themeColor="text1"/>
          <w:sz w:val="28"/>
          <w:szCs w:val="28"/>
          <w:highlight w:val="none"/>
          <w:lang w:eastAsia="zh-CN"/>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投标</w:t>
      </w:r>
      <w:bookmarkEnd w:id="1"/>
      <w:bookmarkEnd w:id="2"/>
      <w:r>
        <w:rPr>
          <w:rFonts w:hint="eastAsia" w:ascii="仿宋" w:hAnsi="仿宋" w:eastAsia="仿宋" w:cs="仿宋"/>
          <w:b/>
          <w:bCs/>
          <w:color w:val="000000" w:themeColor="text1"/>
          <w:sz w:val="28"/>
          <w:szCs w:val="28"/>
          <w:highlight w:val="none"/>
          <w:lang w:val="en-US" w:eastAsia="zh-CN"/>
          <w14:textFill>
            <w14:solidFill>
              <w14:schemeClr w14:val="tx1"/>
            </w14:solidFill>
          </w14:textFill>
        </w:rPr>
        <w:t>要求</w:t>
      </w:r>
    </w:p>
    <w:p w14:paraId="2FB4644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一）线下递交文件时间</w:t>
      </w:r>
      <w:r>
        <w:rPr>
          <w:rFonts w:hint="eastAsia" w:ascii="仿宋" w:hAnsi="仿宋" w:eastAsia="仿宋" w:cs="仿宋"/>
          <w:color w:val="000000" w:themeColor="text1"/>
          <w:highlight w:val="none"/>
          <w:lang w:eastAsia="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202</w:t>
      </w:r>
      <w:r>
        <w:rPr>
          <w:rFonts w:hint="eastAsia" w:ascii="仿宋" w:hAnsi="仿宋" w:eastAsia="仿宋" w:cs="仿宋"/>
          <w:color w:val="000000" w:themeColor="text1"/>
          <w:highlight w:val="none"/>
          <w:lang w:val="en-US" w:eastAsia="zh-CN"/>
          <w14:textFill>
            <w14:solidFill>
              <w14:schemeClr w14:val="tx1"/>
            </w14:solidFill>
          </w14:textFill>
        </w:rPr>
        <w:t>6</w:t>
      </w:r>
      <w:r>
        <w:rPr>
          <w:rFonts w:hint="eastAsia" w:ascii="仿宋" w:hAnsi="仿宋" w:eastAsia="仿宋" w:cs="仿宋"/>
          <w:color w:val="000000" w:themeColor="text1"/>
          <w:highlight w:val="none"/>
          <w14:textFill>
            <w14:solidFill>
              <w14:schemeClr w14:val="tx1"/>
            </w14:solidFill>
          </w14:textFill>
        </w:rPr>
        <w:t>年</w:t>
      </w:r>
      <w:r>
        <w:rPr>
          <w:rFonts w:hint="eastAsia" w:ascii="仿宋" w:hAnsi="仿宋" w:eastAsia="仿宋" w:cs="仿宋"/>
          <w:color w:val="000000" w:themeColor="text1"/>
          <w:highlight w:val="none"/>
          <w:lang w:val="en-US" w:eastAsia="zh-CN"/>
          <w14:textFill>
            <w14:solidFill>
              <w14:schemeClr w14:val="tx1"/>
            </w14:solidFill>
          </w14:textFill>
        </w:rPr>
        <w:t>8月12日9</w:t>
      </w:r>
      <w:r>
        <w:rPr>
          <w:rFonts w:hint="eastAsia" w:ascii="仿宋" w:hAnsi="仿宋" w:eastAsia="仿宋" w:cs="仿宋"/>
          <w:color w:val="000000" w:themeColor="text1"/>
          <w:highlight w:val="none"/>
          <w14:textFill>
            <w14:solidFill>
              <w14:schemeClr w14:val="tx1"/>
            </w14:solidFill>
          </w14:textFill>
        </w:rPr>
        <w:t>：00至</w:t>
      </w:r>
      <w:r>
        <w:rPr>
          <w:rFonts w:hint="eastAsia" w:ascii="仿宋" w:hAnsi="仿宋" w:eastAsia="仿宋" w:cs="仿宋"/>
          <w:color w:val="000000" w:themeColor="text1"/>
          <w:highlight w:val="none"/>
          <w:lang w:val="en-US" w:eastAsia="zh-CN"/>
          <w14:textFill>
            <w14:solidFill>
              <w14:schemeClr w14:val="tx1"/>
            </w14:solidFill>
          </w14:textFill>
        </w:rPr>
        <w:t>12</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0</w:t>
      </w:r>
      <w:r>
        <w:rPr>
          <w:rFonts w:hint="eastAsia" w:ascii="仿宋" w:hAnsi="仿宋" w:eastAsia="仿宋" w:cs="仿宋"/>
          <w:color w:val="000000" w:themeColor="text1"/>
          <w:highlight w:val="none"/>
          <w14:textFill>
            <w14:solidFill>
              <w14:schemeClr w14:val="tx1"/>
            </w14:solidFill>
          </w14:textFill>
        </w:rPr>
        <w:t>0。</w:t>
      </w:r>
    </w:p>
    <w:p w14:paraId="1D5937DA">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eastAsia="zh-CN"/>
          <w14:textFill>
            <w14:solidFill>
              <w14:schemeClr w14:val="tx1"/>
            </w14:solidFill>
          </w14:textFill>
        </w:rPr>
        <w:t>二</w:t>
      </w:r>
      <w:r>
        <w:rPr>
          <w:rFonts w:hint="eastAsia" w:ascii="仿宋" w:hAnsi="仿宋" w:eastAsia="仿宋" w:cs="仿宋"/>
          <w:color w:val="000000" w:themeColor="text1"/>
          <w:highlight w:val="none"/>
          <w14:textFill>
            <w14:solidFill>
              <w14:schemeClr w14:val="tx1"/>
            </w14:solidFill>
          </w14:textFill>
        </w:rPr>
        <w:t>）线下递交文件</w:t>
      </w:r>
      <w:r>
        <w:rPr>
          <w:rFonts w:hint="eastAsia" w:ascii="仿宋" w:hAnsi="仿宋" w:eastAsia="仿宋" w:cs="仿宋"/>
          <w:color w:val="000000" w:themeColor="text1"/>
          <w:highlight w:val="none"/>
          <w:lang w:val="en-US" w:eastAsia="zh-CN"/>
          <w14:textFill>
            <w14:solidFill>
              <w14:schemeClr w14:val="tx1"/>
            </w14:solidFill>
          </w14:textFill>
        </w:rPr>
        <w:t>地点</w:t>
      </w:r>
      <w:r>
        <w:rPr>
          <w:rFonts w:hint="eastAsia" w:ascii="仿宋" w:hAnsi="仿宋" w:eastAsia="仿宋" w:cs="仿宋"/>
          <w:color w:val="000000" w:themeColor="text1"/>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中共重庆市委金融委员会办公室411办公室</w:t>
      </w:r>
      <w:r>
        <w:rPr>
          <w:rFonts w:hint="eastAsia" w:ascii="仿宋" w:hAnsi="仿宋" w:eastAsia="仿宋" w:cs="仿宋"/>
          <w:color w:val="000000" w:themeColor="text1"/>
          <w:highlight w:val="none"/>
          <w:lang w:eastAsia="zh-CN"/>
          <w14:textFill>
            <w14:solidFill>
              <w14:schemeClr w14:val="tx1"/>
            </w14:solidFill>
          </w14:textFill>
        </w:rPr>
        <w:t>。</w:t>
      </w:r>
    </w:p>
    <w:p w14:paraId="23FB4E60">
      <w:pPr>
        <w:pStyle w:val="5"/>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r>
        <w:rPr>
          <w:rFonts w:hint="eastAsia" w:ascii="仿宋" w:hAnsi="仿宋" w:eastAsia="仿宋" w:cs="仿宋"/>
          <w:color w:val="000000" w:themeColor="text1"/>
          <w:sz w:val="28"/>
          <w:szCs w:val="22"/>
          <w:highlight w:val="none"/>
          <w14:textFill>
            <w14:solidFill>
              <w14:schemeClr w14:val="tx1"/>
            </w14:solidFill>
          </w14:textFill>
        </w:rPr>
        <w:t>七、联系方式</w:t>
      </w:r>
    </w:p>
    <w:p w14:paraId="7235EB45">
      <w:pPr>
        <w:pageBreakBefore w:val="0"/>
        <w:widowControl/>
        <w:kinsoku/>
        <w:overflowPunct/>
        <w:topLinePunct w:val="0"/>
        <w:autoSpaceDE/>
        <w:autoSpaceDN/>
        <w:bidi w:val="0"/>
        <w:snapToGrid w:val="0"/>
        <w:spacing w:line="24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val="en-US" w:eastAsia="zh-CN"/>
          <w14:textFill>
            <w14:solidFill>
              <w14:schemeClr w14:val="tx1"/>
            </w14:solidFill>
          </w14:textFill>
        </w:rPr>
        <w:t>中共重庆市委金融委员会办公室</w:t>
      </w:r>
    </w:p>
    <w:p w14:paraId="3BED07F7">
      <w:pPr>
        <w:pageBreakBefore w:val="0"/>
        <w:widowControl/>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王老师</w:t>
      </w:r>
    </w:p>
    <w:p w14:paraId="72477678">
      <w:pPr>
        <w:pageBreakBefore w:val="0"/>
        <w:widowControl/>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  话：</w:t>
      </w:r>
      <w:r>
        <w:rPr>
          <w:rFonts w:hint="eastAsia" w:ascii="仿宋" w:hAnsi="仿宋" w:eastAsia="仿宋" w:cs="仿宋"/>
          <w:color w:val="000000" w:themeColor="text1"/>
          <w:sz w:val="24"/>
          <w:szCs w:val="24"/>
          <w:highlight w:val="none"/>
          <w:lang w:val="en-US" w:eastAsia="zh-CN"/>
          <w14:textFill>
            <w14:solidFill>
              <w14:schemeClr w14:val="tx1"/>
            </w14:solidFill>
          </w14:textFill>
        </w:rPr>
        <w:t>023-63151673</w:t>
      </w:r>
    </w:p>
    <w:p w14:paraId="6F4E4071">
      <w:pPr>
        <w:pageBreakBefore w:val="0"/>
        <w:widowControl/>
        <w:kinsoku/>
        <w:overflowPunct/>
        <w:topLinePunct w:val="0"/>
        <w:autoSpaceDE/>
        <w:autoSpaceDN/>
        <w:bidi w:val="0"/>
        <w:snapToGrid w:val="0"/>
        <w:spacing w:line="24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  址：重庆市两江新区星光大道 11 号</w:t>
      </w:r>
    </w:p>
    <w:p w14:paraId="5DD3529F">
      <w:pPr>
        <w:pStyle w:val="5"/>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r>
        <w:rPr>
          <w:rFonts w:hint="eastAsia" w:ascii="仿宋" w:hAnsi="仿宋" w:eastAsia="仿宋" w:cs="仿宋"/>
          <w:color w:val="000000" w:themeColor="text1"/>
          <w:sz w:val="28"/>
          <w:szCs w:val="22"/>
          <w:highlight w:val="none"/>
          <w14:textFill>
            <w14:solidFill>
              <w14:schemeClr w14:val="tx1"/>
            </w14:solidFill>
          </w14:textFill>
        </w:rPr>
        <w:t>八、其它有关规定</w:t>
      </w:r>
    </w:p>
    <w:p w14:paraId="24A7C15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1．凡参加投标的供应商，请于采购文件发售期</w:t>
      </w:r>
      <w:r>
        <w:rPr>
          <w:rFonts w:hint="eastAsia" w:ascii="仿宋" w:hAnsi="仿宋" w:eastAsia="仿宋" w:cs="仿宋"/>
          <w:color w:val="000000" w:themeColor="text1"/>
          <w:highlight w:val="none"/>
          <w:lang w:val="en-US" w:eastAsia="zh-CN"/>
          <w14:textFill>
            <w14:solidFill>
              <w14:schemeClr w14:val="tx1"/>
            </w14:solidFill>
          </w14:textFill>
        </w:rPr>
        <w:t>内在</w:t>
      </w:r>
      <w:r>
        <w:rPr>
          <w:rFonts w:hint="eastAsia" w:ascii="仿宋" w:hAnsi="仿宋" w:eastAsia="仿宋"/>
          <w:color w:val="000000" w:themeColor="text1"/>
          <w:sz w:val="24"/>
          <w:szCs w:val="24"/>
          <w:highlight w:val="none"/>
          <w:lang w:val="en-US" w:eastAsia="zh-CN"/>
          <w14:textFill>
            <w14:solidFill>
              <w14:schemeClr w14:val="tx1"/>
            </w14:solidFill>
          </w14:textFill>
        </w:rPr>
        <w:t>中共重庆市委金融委员会办公室官网（https://jrjgj.cq.gov.cn/ ）下载</w:t>
      </w:r>
      <w:r>
        <w:rPr>
          <w:rFonts w:hint="eastAsia" w:ascii="仿宋" w:hAnsi="仿宋" w:eastAsia="仿宋" w:cs="仿宋"/>
          <w:color w:val="000000" w:themeColor="text1"/>
          <w:highlight w:val="none"/>
          <w14:textFill>
            <w14:solidFill>
              <w14:schemeClr w14:val="tx1"/>
            </w14:solidFill>
          </w14:textFill>
        </w:rPr>
        <w:t>采购文件以</w:t>
      </w:r>
      <w:r>
        <w:rPr>
          <w:rFonts w:hint="eastAsia" w:ascii="仿宋" w:hAnsi="仿宋" w:eastAsia="仿宋" w:cs="仿宋"/>
          <w:color w:val="000000" w:themeColor="text1"/>
          <w:highlight w:val="none"/>
          <w14:textFill>
            <w14:solidFill>
              <w14:schemeClr w14:val="tx1"/>
            </w14:solidFill>
          </w14:textFill>
        </w:rPr>
        <w:t>及</w:t>
      </w:r>
      <w:r>
        <w:rPr>
          <w:rFonts w:hint="eastAsia" w:ascii="仿宋" w:hAnsi="仿宋" w:eastAsia="仿宋" w:cs="仿宋"/>
          <w:color w:val="000000" w:themeColor="text1"/>
          <w:highlight w:val="none"/>
          <w14:textFill>
            <w14:solidFill>
              <w14:schemeClr w14:val="tx1"/>
            </w14:solidFill>
          </w14:textFill>
        </w:rPr>
        <w:t>变更公告等</w:t>
      </w:r>
      <w:r>
        <w:rPr>
          <w:rFonts w:hint="eastAsia" w:ascii="仿宋" w:hAnsi="仿宋" w:eastAsia="仿宋" w:cs="仿宋"/>
          <w:color w:val="000000" w:themeColor="text1"/>
          <w:highlight w:val="none"/>
          <w:lang w:eastAsia="zh-CN"/>
          <w14:textFill>
            <w14:solidFill>
              <w14:schemeClr w14:val="tx1"/>
            </w14:solidFill>
          </w14:textFill>
        </w:rPr>
        <w:t>比选</w:t>
      </w:r>
      <w:r>
        <w:rPr>
          <w:rFonts w:hint="eastAsia" w:ascii="仿宋" w:hAnsi="仿宋" w:eastAsia="仿宋" w:cs="仿宋"/>
          <w:color w:val="000000" w:themeColor="text1"/>
          <w:highlight w:val="none"/>
          <w14:textFill>
            <w14:solidFill>
              <w14:schemeClr w14:val="tx1"/>
            </w14:solidFill>
          </w14:textFill>
        </w:rPr>
        <w:t>前公布的所有项目资料，无论供应商领取查看与否，均视为已知晓所有</w:t>
      </w:r>
      <w:r>
        <w:rPr>
          <w:rFonts w:hint="eastAsia" w:ascii="仿宋" w:hAnsi="仿宋" w:eastAsia="仿宋" w:cs="仿宋"/>
          <w:color w:val="000000" w:themeColor="text1"/>
          <w:highlight w:val="none"/>
          <w:lang w:eastAsia="zh-CN"/>
          <w14:textFill>
            <w14:solidFill>
              <w14:schemeClr w14:val="tx1"/>
            </w14:solidFill>
          </w14:textFill>
        </w:rPr>
        <w:t>比选</w:t>
      </w:r>
      <w:r>
        <w:rPr>
          <w:rFonts w:hint="eastAsia" w:ascii="仿宋" w:hAnsi="仿宋" w:eastAsia="仿宋" w:cs="仿宋"/>
          <w:color w:val="000000" w:themeColor="text1"/>
          <w:highlight w:val="none"/>
          <w14:textFill>
            <w14:solidFill>
              <w14:schemeClr w14:val="tx1"/>
            </w14:solidFill>
          </w14:textFill>
        </w:rPr>
        <w:t>实质性要求内容。</w:t>
      </w:r>
    </w:p>
    <w:p w14:paraId="453D8B7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2．单位负责人为同一人或者存在直接控股、管理关系的不同供应商，不得参加同一合同项下的政府采购活动，否则均为无效响应。</w:t>
      </w:r>
    </w:p>
    <w:p w14:paraId="267BCBF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3．无论询价结果如何，供应商参与本项目的所有费用均自行承担。</w:t>
      </w:r>
    </w:p>
    <w:p w14:paraId="2798B604">
      <w:pPr>
        <w:pStyle w:val="5"/>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bookmarkStart w:id="20" w:name="_Toc7238"/>
      <w:r>
        <w:rPr>
          <w:rFonts w:hint="eastAsia" w:ascii="仿宋" w:hAnsi="仿宋" w:eastAsia="仿宋" w:cs="仿宋"/>
          <w:color w:val="000000" w:themeColor="text1"/>
          <w:sz w:val="28"/>
          <w:szCs w:val="22"/>
          <w:highlight w:val="none"/>
          <w14:textFill>
            <w14:solidFill>
              <w14:schemeClr w14:val="tx1"/>
            </w14:solidFill>
          </w14:textFill>
        </w:rPr>
        <w:t>九、</w:t>
      </w:r>
      <w:bookmarkEnd w:id="20"/>
      <w:r>
        <w:rPr>
          <w:rFonts w:hint="eastAsia" w:ascii="仿宋" w:hAnsi="仿宋" w:eastAsia="仿宋" w:cs="仿宋"/>
          <w:color w:val="000000" w:themeColor="text1"/>
          <w:sz w:val="28"/>
          <w:szCs w:val="22"/>
          <w:highlight w:val="none"/>
          <w14:textFill>
            <w14:solidFill>
              <w14:schemeClr w14:val="tx1"/>
            </w14:solidFill>
          </w14:textFill>
        </w:rPr>
        <w:t>评选方法及标准</w:t>
      </w:r>
    </w:p>
    <w:p w14:paraId="6041865F">
      <w:pPr>
        <w:pageBreakBefore w:val="0"/>
        <w:widowControl/>
        <w:numPr>
          <w:ilvl w:val="0"/>
          <w:numId w:val="3"/>
        </w:numPr>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综合评分法。满分100分，采购人对已入围评审的报名供应商的响应文件和报价进行评分，得分最高的供应商为成交供应商。</w:t>
      </w:r>
    </w:p>
    <w:p w14:paraId="0C14671C">
      <w:pPr>
        <w:pageBreakBefore w:val="0"/>
        <w:widowControl/>
        <w:numPr>
          <w:ilvl w:val="0"/>
          <w:numId w:val="3"/>
        </w:numPr>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评标程序</w:t>
      </w:r>
    </w:p>
    <w:p w14:paraId="6B4D0C91">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（一）报价截止后评审小组对各供应商的资格条件、响应文件的有效性、完整性和响应程度进行审查。各供应商只有在完全符合要求的前提下，才能参与正式采购。</w:t>
      </w:r>
    </w:p>
    <w:p w14:paraId="1258DC25">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1.资格性检查。依据法律法规和采购采购文件的规定，对响应文件中的资格证明等进行审查，以确定供应商是否具备采购资格。资格性检查资料表如下：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14:paraId="460E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tcBorders>
              <w:top w:val="single" w:color="auto" w:sz="4" w:space="0"/>
              <w:left w:val="single" w:color="auto" w:sz="4" w:space="0"/>
              <w:bottom w:val="single" w:color="auto" w:sz="4" w:space="0"/>
              <w:right w:val="single" w:color="auto" w:sz="4" w:space="0"/>
              <w:tl2br w:val="nil"/>
              <w:tr2bl w:val="nil"/>
            </w:tcBorders>
            <w:vAlign w:val="center"/>
          </w:tcPr>
          <w:p w14:paraId="20C6710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68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B020D8B">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检查因素</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6B3681A3">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检查内容</w:t>
            </w:r>
          </w:p>
        </w:tc>
      </w:tr>
      <w:tr w14:paraId="59EF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A07DB97">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70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A322476">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w:t>
            </w:r>
            <w:r>
              <w:rPr>
                <w:rFonts w:hint="eastAsia" w:ascii="仿宋" w:hAnsi="仿宋" w:eastAsia="仿宋" w:cs="仿宋"/>
                <w:color w:val="000000" w:themeColor="text1"/>
                <w:sz w:val="24"/>
                <w:szCs w:val="24"/>
                <w:highlight w:val="none"/>
                <w:lang w:val="zh-CN"/>
                <w14:textFill>
                  <w14:solidFill>
                    <w14:schemeClr w14:val="tx1"/>
                  </w14:solidFill>
                </w14:textFill>
              </w:rPr>
              <w:t>应符合的基本资格条件</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78954F28">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（1）具有独立承担民事责任的能力</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71420368">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供应商法人营业执照（副本）或事业单位法人证书（副本）； 供应商法定代表人身份证明和法定代表人授权代表委托书。</w:t>
            </w:r>
          </w:p>
        </w:tc>
      </w:tr>
      <w:tr w14:paraId="414C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7E473A3">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48C7EB7">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606C2BCB">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（2）具有良好的商业信誉和健全的财务会计制度</w:t>
            </w:r>
          </w:p>
        </w:tc>
        <w:tc>
          <w:tcPr>
            <w:tcW w:w="5155" w:type="dxa"/>
            <w:vMerge w:val="restart"/>
            <w:tcBorders>
              <w:top w:val="single" w:color="auto" w:sz="4" w:space="0"/>
              <w:left w:val="single" w:color="auto" w:sz="4" w:space="0"/>
              <w:right w:val="single" w:color="auto" w:sz="4" w:space="0"/>
              <w:tl2br w:val="nil"/>
              <w:tr2bl w:val="nil"/>
            </w:tcBorders>
            <w:vAlign w:val="center"/>
          </w:tcPr>
          <w:p w14:paraId="29551BD3">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供应商提供基本资格条件承诺函（见格式文件）</w:t>
            </w:r>
          </w:p>
        </w:tc>
      </w:tr>
      <w:tr w14:paraId="0C37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A90EE55">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BAD0356">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76E26FE1">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（3）具有履行合同所必需的设备和专业技术能力</w:t>
            </w:r>
          </w:p>
        </w:tc>
        <w:tc>
          <w:tcPr>
            <w:tcW w:w="5155" w:type="dxa"/>
            <w:vMerge w:val="continue"/>
            <w:tcBorders>
              <w:left w:val="single" w:color="auto" w:sz="4" w:space="0"/>
              <w:right w:val="single" w:color="auto" w:sz="4" w:space="0"/>
              <w:tl2br w:val="nil"/>
              <w:tr2bl w:val="nil"/>
            </w:tcBorders>
            <w:vAlign w:val="center"/>
          </w:tcPr>
          <w:p w14:paraId="4964DB51">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69D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C70EA59">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F3C18AB">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3BA3B58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（4）有依法缴纳税收和社会保障金的良好记录</w:t>
            </w:r>
          </w:p>
        </w:tc>
        <w:tc>
          <w:tcPr>
            <w:tcW w:w="5155" w:type="dxa"/>
            <w:vMerge w:val="continue"/>
            <w:tcBorders>
              <w:left w:val="single" w:color="auto" w:sz="4" w:space="0"/>
              <w:right w:val="single" w:color="auto" w:sz="4" w:space="0"/>
              <w:tl2br w:val="nil"/>
              <w:tr2bl w:val="nil"/>
            </w:tcBorders>
            <w:vAlign w:val="center"/>
          </w:tcPr>
          <w:p w14:paraId="7FE7EED1">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325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923354A">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A4EB686">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26C3CC6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（5）参加政府采购活动前三年内，在经营活动中没有重大违法记录</w:t>
            </w:r>
          </w:p>
        </w:tc>
        <w:tc>
          <w:tcPr>
            <w:tcW w:w="5155" w:type="dxa"/>
            <w:vMerge w:val="continue"/>
            <w:tcBorders>
              <w:left w:val="single" w:color="auto" w:sz="4" w:space="0"/>
              <w:bottom w:val="single" w:color="auto" w:sz="4" w:space="0"/>
              <w:right w:val="single" w:color="auto" w:sz="4" w:space="0"/>
              <w:tl2br w:val="nil"/>
              <w:tr2bl w:val="nil"/>
            </w:tcBorders>
            <w:vAlign w:val="center"/>
          </w:tcPr>
          <w:p w14:paraId="17AAE31A">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4400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27BFDE4">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7C2258F">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1A726C1E">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（6）法律、行政法规规定的其他条件</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25E865C3">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553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14:paraId="4A97E029">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p>
        </w:tc>
        <w:tc>
          <w:tcPr>
            <w:tcW w:w="368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AC1140C">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特定资格条件</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47AB33DF">
            <w:pPr>
              <w:pageBreakBefore w:val="0"/>
              <w:kinsoku/>
              <w:overflowPunct/>
              <w:topLinePunct w:val="0"/>
              <w:autoSpaceDE/>
              <w:autoSpaceDN/>
              <w:bidi w:val="0"/>
              <w:spacing w:line="24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特定资格要求”的要求提交</w:t>
            </w:r>
          </w:p>
        </w:tc>
      </w:tr>
    </w:tbl>
    <w:p w14:paraId="3DCBF0FA">
      <w:pPr>
        <w:pageBreakBefore w:val="0"/>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07E462CD">
      <w:pPr>
        <w:pageBreakBefore w:val="0"/>
        <w:kinsoku/>
        <w:overflowPunct/>
        <w:topLinePunct w:val="0"/>
        <w:autoSpaceDE/>
        <w:autoSpaceDN/>
        <w:bidi w:val="0"/>
        <w:snapToGrid w:val="0"/>
        <w:spacing w:line="240" w:lineRule="auto"/>
        <w:ind w:firstLine="480" w:firstLineChars="200"/>
        <w:textAlignment w:val="auto"/>
        <w:rPr>
          <w:rFonts w:hint="eastAsia" w:ascii="仿宋" w:hAnsi="仿宋" w:eastAsia="仿宋"/>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2.符合性检查。依据</w:t>
      </w:r>
      <w:r>
        <w:rPr>
          <w:rFonts w:hint="eastAsia" w:ascii="仿宋" w:hAnsi="仿宋" w:eastAsia="仿宋" w:cs="宋体"/>
          <w:color w:val="000000" w:themeColor="text1"/>
          <w:kern w:val="0"/>
          <w:sz w:val="24"/>
          <w:szCs w:val="24"/>
          <w:highlight w:val="none"/>
          <w:lang w:eastAsia="zh-CN"/>
          <w14:textFill>
            <w14:solidFill>
              <w14:schemeClr w14:val="tx1"/>
            </w14:solidFill>
          </w14:textFill>
        </w:rPr>
        <w:t>询比</w:t>
      </w:r>
      <w:r>
        <w:rPr>
          <w:rFonts w:hint="eastAsia" w:ascii="仿宋" w:hAnsi="仿宋" w:eastAsia="仿宋" w:cs="宋体"/>
          <w:color w:val="000000" w:themeColor="text1"/>
          <w:kern w:val="0"/>
          <w:sz w:val="24"/>
          <w:szCs w:val="24"/>
          <w:highlight w:val="none"/>
          <w14:textFill>
            <w14:solidFill>
              <w14:schemeClr w14:val="tx1"/>
            </w14:solidFill>
          </w14:textFill>
        </w:rPr>
        <w:t>文件的规定，从响应文件的有效性、完整性和对</w:t>
      </w:r>
      <w:r>
        <w:rPr>
          <w:rFonts w:hint="eastAsia" w:ascii="仿宋" w:hAnsi="仿宋" w:eastAsia="仿宋" w:cs="宋体"/>
          <w:color w:val="000000" w:themeColor="text1"/>
          <w:kern w:val="0"/>
          <w:sz w:val="24"/>
          <w:szCs w:val="24"/>
          <w:highlight w:val="none"/>
          <w:lang w:eastAsia="zh-CN"/>
          <w14:textFill>
            <w14:solidFill>
              <w14:schemeClr w14:val="tx1"/>
            </w14:solidFill>
          </w14:textFill>
        </w:rPr>
        <w:t>询比</w:t>
      </w:r>
      <w:r>
        <w:rPr>
          <w:rFonts w:hint="eastAsia" w:ascii="仿宋" w:hAnsi="仿宋" w:eastAsia="仿宋" w:cs="宋体"/>
          <w:color w:val="000000" w:themeColor="text1"/>
          <w:kern w:val="0"/>
          <w:sz w:val="24"/>
          <w:szCs w:val="24"/>
          <w:highlight w:val="none"/>
          <w14:textFill>
            <w14:solidFill>
              <w14:schemeClr w14:val="tx1"/>
            </w14:solidFill>
          </w14:textFill>
        </w:rPr>
        <w:t>文件的响应程度进行审查，以确定是否对</w:t>
      </w:r>
      <w:r>
        <w:rPr>
          <w:rFonts w:hint="eastAsia" w:ascii="仿宋" w:hAnsi="仿宋" w:eastAsia="仿宋" w:cs="宋体"/>
          <w:color w:val="000000" w:themeColor="text1"/>
          <w:kern w:val="0"/>
          <w:sz w:val="24"/>
          <w:szCs w:val="24"/>
          <w:highlight w:val="none"/>
          <w:lang w:eastAsia="zh-CN"/>
          <w14:textFill>
            <w14:solidFill>
              <w14:schemeClr w14:val="tx1"/>
            </w14:solidFill>
          </w14:textFill>
        </w:rPr>
        <w:t>询比</w:t>
      </w:r>
      <w:r>
        <w:rPr>
          <w:rFonts w:hint="eastAsia" w:ascii="仿宋" w:hAnsi="仿宋" w:eastAsia="仿宋" w:cs="宋体"/>
          <w:color w:val="000000" w:themeColor="text1"/>
          <w:kern w:val="0"/>
          <w:sz w:val="24"/>
          <w:szCs w:val="24"/>
          <w:highlight w:val="none"/>
          <w14:textFill>
            <w14:solidFill>
              <w14:schemeClr w14:val="tx1"/>
            </w14:solidFill>
          </w14:textFill>
        </w:rPr>
        <w:t>文件的实质性要求作出响应。</w:t>
      </w:r>
      <w:r>
        <w:rPr>
          <w:rFonts w:hint="eastAsia" w:ascii="仿宋" w:hAnsi="仿宋" w:eastAsia="仿宋"/>
          <w:color w:val="000000" w:themeColor="text1"/>
          <w:kern w:val="0"/>
          <w:sz w:val="24"/>
          <w:szCs w:val="24"/>
          <w:highlight w:val="none"/>
          <w14:textFill>
            <w14:solidFill>
              <w14:schemeClr w14:val="tx1"/>
            </w14:solidFill>
          </w14:textFill>
        </w:rPr>
        <w:t>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8BE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202416D1">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b/>
                <w:color w:val="000000" w:themeColor="text1"/>
                <w:kern w:val="0"/>
                <w:sz w:val="24"/>
                <w:szCs w:val="24"/>
                <w:highlight w:val="none"/>
                <w14:textFill>
                  <w14:solidFill>
                    <w14:schemeClr w14:val="tx1"/>
                  </w14:solidFill>
                </w14:textFill>
              </w:rPr>
            </w:pPr>
            <w:r>
              <w:rPr>
                <w:rFonts w:hint="eastAsia" w:ascii="仿宋" w:hAnsi="仿宋" w:eastAsia="仿宋" w:cs="宋体"/>
                <w:b/>
                <w:color w:val="000000" w:themeColor="text1"/>
                <w:kern w:val="0"/>
                <w:sz w:val="24"/>
                <w:szCs w:val="24"/>
                <w:highlight w:val="none"/>
                <w14:textFill>
                  <w14:solidFill>
                    <w14:schemeClr w14:val="tx1"/>
                  </w14:solidFill>
                </w14:textFill>
              </w:rPr>
              <w:t>序号</w:t>
            </w:r>
          </w:p>
        </w:tc>
        <w:tc>
          <w:tcPr>
            <w:tcW w:w="35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FBCBDA0">
            <w:pPr>
              <w:pageBreakBefore w:val="0"/>
              <w:kinsoku/>
              <w:overflowPunct/>
              <w:topLinePunct w:val="0"/>
              <w:autoSpaceDE/>
              <w:autoSpaceDN/>
              <w:bidi w:val="0"/>
              <w:spacing w:line="240" w:lineRule="auto"/>
              <w:jc w:val="center"/>
              <w:textAlignment w:val="auto"/>
              <w:rPr>
                <w:rFonts w:hint="eastAsia" w:ascii="仿宋" w:hAnsi="仿宋" w:eastAsia="仿宋" w:cs="宋体"/>
                <w:b/>
                <w:color w:val="000000" w:themeColor="text1"/>
                <w:kern w:val="0"/>
                <w:sz w:val="24"/>
                <w:szCs w:val="24"/>
                <w:highlight w:val="none"/>
                <w14:textFill>
                  <w14:solidFill>
                    <w14:schemeClr w14:val="tx1"/>
                  </w14:solidFill>
                </w14:textFill>
              </w:rPr>
            </w:pPr>
            <w:r>
              <w:rPr>
                <w:rFonts w:hint="eastAsia" w:ascii="仿宋" w:hAnsi="仿宋" w:eastAsia="仿宋" w:cs="宋体"/>
                <w:b/>
                <w:color w:val="000000" w:themeColor="text1"/>
                <w:kern w:val="0"/>
                <w:sz w:val="24"/>
                <w:szCs w:val="24"/>
                <w:highlight w:val="none"/>
                <w14:textFill>
                  <w14:solidFill>
                    <w14:schemeClr w14:val="tx1"/>
                  </w14:solidFill>
                </w14:textFill>
              </w:rPr>
              <w:t>评审因素</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56336579">
            <w:pPr>
              <w:pageBreakBefore w:val="0"/>
              <w:kinsoku/>
              <w:overflowPunct/>
              <w:topLinePunct w:val="0"/>
              <w:autoSpaceDE/>
              <w:autoSpaceDN/>
              <w:bidi w:val="0"/>
              <w:spacing w:line="240" w:lineRule="auto"/>
              <w:jc w:val="center"/>
              <w:textAlignment w:val="auto"/>
              <w:rPr>
                <w:rFonts w:hint="eastAsia" w:ascii="仿宋" w:hAnsi="仿宋" w:eastAsia="仿宋" w:cs="宋体"/>
                <w:b/>
                <w:color w:val="000000" w:themeColor="text1"/>
                <w:kern w:val="0"/>
                <w:sz w:val="24"/>
                <w:szCs w:val="24"/>
                <w:highlight w:val="none"/>
                <w14:textFill>
                  <w14:solidFill>
                    <w14:schemeClr w14:val="tx1"/>
                  </w14:solidFill>
                </w14:textFill>
              </w:rPr>
            </w:pPr>
            <w:r>
              <w:rPr>
                <w:rFonts w:hint="eastAsia" w:ascii="仿宋" w:hAnsi="仿宋" w:eastAsia="仿宋" w:cs="宋体"/>
                <w:b/>
                <w:color w:val="000000" w:themeColor="text1"/>
                <w:kern w:val="0"/>
                <w:sz w:val="24"/>
                <w:szCs w:val="24"/>
                <w:highlight w:val="none"/>
                <w14:textFill>
                  <w14:solidFill>
                    <w14:schemeClr w14:val="tx1"/>
                  </w14:solidFill>
                </w14:textFill>
              </w:rPr>
              <w:t>评审标准</w:t>
            </w:r>
          </w:p>
        </w:tc>
      </w:tr>
      <w:tr w14:paraId="2C72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E9BC28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1</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FAAF6FE">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有效性审查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523138C5">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响应文件签署</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8161926">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电子文档及响应文件上法定代表人或其授权代表人的签字齐全。</w:t>
            </w:r>
          </w:p>
        </w:tc>
      </w:tr>
      <w:tr w14:paraId="3053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8228BB1">
            <w:pPr>
              <w:pageBreakBefore w:val="0"/>
              <w:kinsoku/>
              <w:overflowPunct/>
              <w:topLinePunct w:val="0"/>
              <w:autoSpaceDE/>
              <w:autoSpaceDN/>
              <w:bidi w:val="0"/>
              <w:spacing w:line="240" w:lineRule="auto"/>
              <w:jc w:val="center"/>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B616CFD">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5B74430A">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法定代表人身份证明及授权委托书</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659BFD1D">
            <w:pPr>
              <w:pageBreakBefore w:val="0"/>
              <w:kinsoku/>
              <w:overflowPunct/>
              <w:topLinePunct w:val="0"/>
              <w:autoSpaceDE/>
              <w:autoSpaceDN/>
              <w:bidi w:val="0"/>
              <w:spacing w:line="240" w:lineRule="auto"/>
              <w:textAlignment w:val="auto"/>
              <w:rPr>
                <w:rFonts w:hint="eastAsia"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法定代表人身份证明及授权委托书有效，符合</w:t>
            </w:r>
            <w:r>
              <w:rPr>
                <w:rFonts w:hint="eastAsia" w:ascii="仿宋" w:hAnsi="仿宋" w:eastAsia="仿宋"/>
                <w:color w:val="000000" w:themeColor="text1"/>
                <w:sz w:val="24"/>
                <w:szCs w:val="24"/>
                <w:highlight w:val="none"/>
                <w:lang w:eastAsia="zh-CN"/>
                <w14:textFill>
                  <w14:solidFill>
                    <w14:schemeClr w14:val="tx1"/>
                  </w14:solidFill>
                </w14:textFill>
              </w:rPr>
              <w:t>询比</w:t>
            </w:r>
            <w:r>
              <w:rPr>
                <w:rFonts w:hint="eastAsia" w:ascii="仿宋" w:hAnsi="仿宋" w:eastAsia="仿宋"/>
                <w:color w:val="000000" w:themeColor="text1"/>
                <w:sz w:val="24"/>
                <w:szCs w:val="24"/>
                <w:highlight w:val="none"/>
                <w14:textFill>
                  <w14:solidFill>
                    <w14:schemeClr w14:val="tx1"/>
                  </w14:solidFill>
                </w14:textFill>
              </w:rPr>
              <w:t>文件规定的格式，签字或盖章齐全。</w:t>
            </w:r>
          </w:p>
        </w:tc>
      </w:tr>
      <w:tr w14:paraId="1EF5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7CACF6B">
            <w:pPr>
              <w:pageBreakBefore w:val="0"/>
              <w:kinsoku/>
              <w:overflowPunct/>
              <w:topLinePunct w:val="0"/>
              <w:autoSpaceDE/>
              <w:autoSpaceDN/>
              <w:bidi w:val="0"/>
              <w:spacing w:line="240" w:lineRule="auto"/>
              <w:jc w:val="center"/>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202A2C7">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08815CD1">
            <w:pPr>
              <w:pageBreakBefore w:val="0"/>
              <w:kinsoku/>
              <w:overflowPunct/>
              <w:topLinePunct w:val="0"/>
              <w:autoSpaceDE/>
              <w:autoSpaceDN/>
              <w:bidi w:val="0"/>
              <w:spacing w:line="240" w:lineRule="auto"/>
              <w:textAlignment w:val="auto"/>
              <w:rPr>
                <w:rFonts w:hint="eastAsia" w:ascii="仿宋" w:hAnsi="仿宋" w:eastAsia="仿宋" w:cs="仿宋_GB2312"/>
                <w:color w:val="000000" w:themeColor="text1"/>
                <w:sz w:val="24"/>
                <w:szCs w:val="24"/>
                <w:highlight w:val="none"/>
                <w:lang w:val="zh-CN"/>
                <w14:textFill>
                  <w14:solidFill>
                    <w14:schemeClr w14:val="tx1"/>
                  </w14:solidFill>
                </w14:textFill>
              </w:rPr>
            </w:pPr>
            <w:r>
              <w:rPr>
                <w:rFonts w:hint="eastAsia" w:ascii="仿宋" w:hAnsi="仿宋" w:eastAsia="仿宋" w:cs="仿宋_GB2312"/>
                <w:color w:val="000000" w:themeColor="text1"/>
                <w:sz w:val="24"/>
                <w:szCs w:val="24"/>
                <w:highlight w:val="none"/>
                <w14:textFill>
                  <w14:solidFill>
                    <w14:schemeClr w14:val="tx1"/>
                  </w14:solidFill>
                </w14:textFill>
              </w:rPr>
              <w:t>响应</w:t>
            </w:r>
            <w:r>
              <w:rPr>
                <w:rFonts w:hint="eastAsia" w:ascii="仿宋" w:hAnsi="仿宋" w:eastAsia="仿宋" w:cs="仿宋_GB2312"/>
                <w:color w:val="000000" w:themeColor="text1"/>
                <w:sz w:val="24"/>
                <w:szCs w:val="24"/>
                <w:highlight w:val="none"/>
                <w:lang w:val="zh-CN"/>
                <w14:textFill>
                  <w14:solidFill>
                    <w14:schemeClr w14:val="tx1"/>
                  </w14:solidFill>
                </w14:textFill>
              </w:rPr>
              <w:t>方案</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7C2A399">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仿宋_GB2312"/>
                <w:color w:val="000000" w:themeColor="text1"/>
                <w:sz w:val="24"/>
                <w:szCs w:val="24"/>
                <w:highlight w:val="none"/>
                <w:lang w:val="zh-CN"/>
                <w14:textFill>
                  <w14:solidFill>
                    <w14:schemeClr w14:val="tx1"/>
                  </w14:solidFill>
                </w14:textFill>
              </w:rPr>
              <w:t>每个分包只能有一个</w:t>
            </w:r>
            <w:r>
              <w:rPr>
                <w:rFonts w:hint="eastAsia" w:ascii="仿宋" w:hAnsi="仿宋" w:eastAsia="仿宋" w:cs="仿宋_GB2312"/>
                <w:color w:val="000000" w:themeColor="text1"/>
                <w:sz w:val="24"/>
                <w:szCs w:val="24"/>
                <w:highlight w:val="none"/>
                <w14:textFill>
                  <w14:solidFill>
                    <w14:schemeClr w14:val="tx1"/>
                  </w14:solidFill>
                </w14:textFill>
              </w:rPr>
              <w:t>响应</w:t>
            </w:r>
            <w:r>
              <w:rPr>
                <w:rFonts w:hint="eastAsia" w:ascii="仿宋" w:hAnsi="仿宋" w:eastAsia="仿宋" w:cs="仿宋_GB2312"/>
                <w:color w:val="000000" w:themeColor="text1"/>
                <w:sz w:val="24"/>
                <w:szCs w:val="24"/>
                <w:highlight w:val="none"/>
                <w:lang w:val="zh-CN"/>
                <w14:textFill>
                  <w14:solidFill>
                    <w14:schemeClr w14:val="tx1"/>
                  </w14:solidFill>
                </w14:textFill>
              </w:rPr>
              <w:t>方案。</w:t>
            </w:r>
          </w:p>
        </w:tc>
      </w:tr>
      <w:tr w14:paraId="20E5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B55A603">
            <w:pPr>
              <w:pageBreakBefore w:val="0"/>
              <w:kinsoku/>
              <w:overflowPunct/>
              <w:topLinePunct w:val="0"/>
              <w:autoSpaceDE/>
              <w:autoSpaceDN/>
              <w:bidi w:val="0"/>
              <w:spacing w:line="240" w:lineRule="auto"/>
              <w:jc w:val="center"/>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8C6AAE9">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62047134">
            <w:pPr>
              <w:pageBreakBefore w:val="0"/>
              <w:kinsoku/>
              <w:overflowPunct/>
              <w:topLinePunct w:val="0"/>
              <w:autoSpaceDE/>
              <w:autoSpaceDN/>
              <w:bidi w:val="0"/>
              <w:spacing w:line="240" w:lineRule="auto"/>
              <w:textAlignment w:val="auto"/>
              <w:rPr>
                <w:rFonts w:hint="eastAsia" w:ascii="仿宋" w:hAnsi="仿宋" w:eastAsia="仿宋" w:cs="仿宋_GB2312"/>
                <w:color w:val="000000" w:themeColor="text1"/>
                <w:sz w:val="24"/>
                <w:szCs w:val="24"/>
                <w:highlight w:val="none"/>
                <w:lang w:val="zh-CN"/>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报价唯一</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14A2DB6B">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仿宋_GB2312"/>
                <w:color w:val="000000" w:themeColor="text1"/>
                <w:sz w:val="24"/>
                <w:szCs w:val="24"/>
                <w:highlight w:val="none"/>
                <w:lang w:val="zh-CN"/>
                <w14:textFill>
                  <w14:solidFill>
                    <w14:schemeClr w14:val="tx1"/>
                  </w14:solidFill>
                </w14:textFill>
              </w:rPr>
              <w:t>只能在采购预算范围内报价，</w:t>
            </w:r>
            <w:r>
              <w:rPr>
                <w:rFonts w:hint="eastAsia" w:ascii="仿宋" w:hAnsi="仿宋" w:eastAsia="仿宋"/>
                <w:color w:val="000000" w:themeColor="text1"/>
                <w:sz w:val="24"/>
                <w:szCs w:val="24"/>
                <w:highlight w:val="none"/>
                <w14:textFill>
                  <w14:solidFill>
                    <w14:schemeClr w14:val="tx1"/>
                  </w14:solidFill>
                </w14:textFill>
              </w:rPr>
              <w:t>只能有一个有效报价，不得提交选择性报价。</w:t>
            </w:r>
          </w:p>
        </w:tc>
      </w:tr>
      <w:tr w14:paraId="31D5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349A4F9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2</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14:paraId="72A4C8E7">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完整性审查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11A9E813">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仿宋_GB2312"/>
                <w:color w:val="000000" w:themeColor="text1"/>
                <w:sz w:val="24"/>
                <w:szCs w:val="24"/>
                <w:highlight w:val="none"/>
                <w14:textFill>
                  <w14:solidFill>
                    <w14:schemeClr w14:val="tx1"/>
                  </w14:solidFill>
                </w14:textFill>
              </w:rPr>
              <w:t>响应</w:t>
            </w:r>
            <w:r>
              <w:rPr>
                <w:rFonts w:hint="eastAsia" w:ascii="仿宋" w:hAnsi="仿宋" w:eastAsia="仿宋" w:cs="仿宋_GB2312"/>
                <w:color w:val="000000" w:themeColor="text1"/>
                <w:sz w:val="24"/>
                <w:szCs w:val="24"/>
                <w:highlight w:val="none"/>
                <w:lang w:val="zh-CN"/>
                <w14:textFill>
                  <w14:solidFill>
                    <w14:schemeClr w14:val="tx1"/>
                  </w14:solidFill>
                </w14:textFill>
              </w:rPr>
              <w:t>文件份数</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12880EE0">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仿宋_GB2312"/>
                <w:color w:val="000000" w:themeColor="text1"/>
                <w:sz w:val="24"/>
                <w:szCs w:val="24"/>
                <w:highlight w:val="none"/>
                <w14:textFill>
                  <w14:solidFill>
                    <w14:schemeClr w14:val="tx1"/>
                  </w14:solidFill>
                </w14:textFill>
              </w:rPr>
              <w:t>响应</w:t>
            </w:r>
            <w:r>
              <w:rPr>
                <w:rFonts w:hint="eastAsia" w:ascii="仿宋" w:hAnsi="仿宋" w:eastAsia="仿宋" w:cs="仿宋_GB2312"/>
                <w:color w:val="000000" w:themeColor="text1"/>
                <w:sz w:val="24"/>
                <w:szCs w:val="24"/>
                <w:highlight w:val="none"/>
                <w:lang w:val="zh-CN"/>
                <w14:textFill>
                  <w14:solidFill>
                    <w14:schemeClr w14:val="tx1"/>
                  </w14:solidFill>
                </w14:textFill>
              </w:rPr>
              <w:t>文件数量（</w:t>
            </w:r>
            <w:r>
              <w:rPr>
                <w:rFonts w:hint="eastAsia" w:ascii="仿宋" w:hAnsi="仿宋" w:eastAsia="仿宋" w:cs="仿宋_GB2312"/>
                <w:color w:val="000000" w:themeColor="text1"/>
                <w:sz w:val="24"/>
                <w:szCs w:val="24"/>
                <w:highlight w:val="none"/>
                <w14:textFill>
                  <w14:solidFill>
                    <w14:schemeClr w14:val="tx1"/>
                  </w14:solidFill>
                </w14:textFill>
              </w:rPr>
              <w:t>含电子文档</w:t>
            </w:r>
            <w:r>
              <w:rPr>
                <w:rFonts w:hint="eastAsia" w:ascii="仿宋" w:hAnsi="仿宋" w:eastAsia="仿宋" w:cs="仿宋_GB2312"/>
                <w:color w:val="000000" w:themeColor="text1"/>
                <w:sz w:val="24"/>
                <w:szCs w:val="24"/>
                <w:highlight w:val="none"/>
                <w:lang w:val="zh-CN"/>
                <w14:textFill>
                  <w14:solidFill>
                    <w14:schemeClr w14:val="tx1"/>
                  </w14:solidFill>
                </w14:textFill>
              </w:rPr>
              <w:t>）符合</w:t>
            </w:r>
            <w:r>
              <w:rPr>
                <w:rFonts w:hint="eastAsia" w:ascii="仿宋" w:hAnsi="仿宋" w:eastAsia="仿宋" w:cs="仿宋_GB2312"/>
                <w:color w:val="000000" w:themeColor="text1"/>
                <w:sz w:val="24"/>
                <w:szCs w:val="24"/>
                <w:highlight w:val="none"/>
                <w:lang w:eastAsia="zh-CN"/>
                <w14:textFill>
                  <w14:solidFill>
                    <w14:schemeClr w14:val="tx1"/>
                  </w14:solidFill>
                </w14:textFill>
              </w:rPr>
              <w:t>询比</w:t>
            </w:r>
            <w:r>
              <w:rPr>
                <w:rFonts w:hint="eastAsia" w:ascii="仿宋" w:hAnsi="仿宋" w:eastAsia="仿宋" w:cs="仿宋_GB2312"/>
                <w:color w:val="000000" w:themeColor="text1"/>
                <w:sz w:val="24"/>
                <w:szCs w:val="24"/>
                <w:highlight w:val="none"/>
                <w:lang w:val="zh-CN"/>
                <w14:textFill>
                  <w14:solidFill>
                    <w14:schemeClr w14:val="tx1"/>
                  </w14:solidFill>
                </w14:textFill>
              </w:rPr>
              <w:t>文件要求。</w:t>
            </w:r>
          </w:p>
        </w:tc>
      </w:tr>
      <w:tr w14:paraId="5C6D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1F67051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3</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0DAE6ED1">
            <w:pPr>
              <w:pageBreakBefore w:val="0"/>
              <w:kinsoku/>
              <w:overflowPunct/>
              <w:topLinePunct w:val="0"/>
              <w:autoSpaceDE/>
              <w:autoSpaceDN/>
              <w:bidi w:val="0"/>
              <w:spacing w:line="240" w:lineRule="auto"/>
              <w:ind w:firstLine="0" w:firstLineChars="0"/>
              <w:textAlignment w:val="auto"/>
              <w:rPr>
                <w:rFonts w:hint="eastAsia" w:ascii="仿宋" w:hAnsi="仿宋" w:eastAsia="仿宋" w:cs="仿宋_GB2312"/>
                <w:color w:val="000000" w:themeColor="text1"/>
                <w:sz w:val="24"/>
                <w:szCs w:val="24"/>
                <w:highlight w:val="none"/>
                <w:lang w:val="zh-CN"/>
                <w14:textFill>
                  <w14:solidFill>
                    <w14:schemeClr w14:val="tx1"/>
                  </w14:solidFill>
                </w14:textFill>
              </w:rPr>
            </w:pPr>
            <w:r>
              <w:rPr>
                <w:rFonts w:hint="eastAsia" w:ascii="仿宋" w:hAnsi="仿宋" w:eastAsia="仿宋" w:cs="宋体"/>
                <w:color w:val="000000" w:themeColor="text1"/>
                <w:kern w:val="0"/>
                <w:sz w:val="24"/>
                <w:szCs w:val="24"/>
                <w:highlight w:val="none"/>
                <w:lang w:eastAsia="zh-CN"/>
                <w14:textFill>
                  <w14:solidFill>
                    <w14:schemeClr w14:val="tx1"/>
                  </w14:solidFill>
                </w14:textFill>
              </w:rPr>
              <w:t>比选</w:t>
            </w:r>
            <w:r>
              <w:rPr>
                <w:rFonts w:hint="eastAsia" w:ascii="仿宋" w:hAnsi="仿宋" w:eastAsia="仿宋" w:cs="宋体"/>
                <w:color w:val="000000" w:themeColor="text1"/>
                <w:kern w:val="0"/>
                <w:sz w:val="24"/>
                <w:szCs w:val="24"/>
                <w:highlight w:val="none"/>
                <w14:textFill>
                  <w14:solidFill>
                    <w14:schemeClr w14:val="tx1"/>
                  </w14:solidFill>
                </w14:textFill>
              </w:rPr>
              <w:t>文件的响应程度审查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79B29DEA">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响应文件内容</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D07F3CC">
            <w:pPr>
              <w:pStyle w:val="12"/>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对</w:t>
            </w:r>
            <w:r>
              <w:rPr>
                <w:rFonts w:hint="eastAsia" w:ascii="仿宋" w:hAnsi="仿宋" w:eastAsia="仿宋" w:cs="宋体"/>
                <w:color w:val="000000" w:themeColor="text1"/>
                <w:kern w:val="0"/>
                <w:sz w:val="24"/>
                <w:szCs w:val="24"/>
                <w:highlight w:val="none"/>
                <w:lang w:eastAsia="zh-CN"/>
                <w14:textFill>
                  <w14:solidFill>
                    <w14:schemeClr w14:val="tx1"/>
                  </w14:solidFill>
                </w14:textFill>
              </w:rPr>
              <w:t>比选</w:t>
            </w:r>
            <w:r>
              <w:rPr>
                <w:rFonts w:hint="eastAsia" w:ascii="仿宋" w:hAnsi="仿宋" w:eastAsia="仿宋" w:cs="宋体"/>
                <w:color w:val="000000" w:themeColor="text1"/>
                <w:kern w:val="0"/>
                <w:sz w:val="24"/>
                <w:szCs w:val="24"/>
                <w:highlight w:val="none"/>
                <w14:textFill>
                  <w14:solidFill>
                    <w14:schemeClr w14:val="tx1"/>
                  </w14:solidFill>
                </w14:textFill>
              </w:rPr>
              <w:t>文件</w:t>
            </w:r>
            <w:r>
              <w:rPr>
                <w:rFonts w:hint="eastAsia" w:ascii="仿宋" w:hAnsi="仿宋" w:eastAsia="仿宋" w:cs="宋体"/>
                <w:color w:val="000000" w:themeColor="text1"/>
                <w:kern w:val="0"/>
                <w:sz w:val="24"/>
                <w:szCs w:val="24"/>
                <w:highlight w:val="none"/>
                <w:lang w:eastAsia="zh-CN"/>
                <w14:textFill>
                  <w14:solidFill>
                    <w14:schemeClr w14:val="tx1"/>
                  </w14:solidFill>
                </w14:textFill>
              </w:rPr>
              <w:t>“</w:t>
            </w:r>
            <w:r>
              <w:rPr>
                <w:rFonts w:hint="eastAsia" w:ascii="仿宋" w:hAnsi="仿宋" w:eastAsia="仿宋" w:cs="宋体"/>
                <w:color w:val="000000" w:themeColor="text1"/>
                <w:kern w:val="0"/>
                <w:sz w:val="24"/>
                <w:szCs w:val="24"/>
                <w:highlight w:val="none"/>
                <w:lang w:val="en-US" w:eastAsia="zh-CN"/>
                <w14:textFill>
                  <w14:solidFill>
                    <w14:schemeClr w14:val="tx1"/>
                  </w14:solidFill>
                </w14:textFill>
              </w:rPr>
              <w:t>项目技术要求</w:t>
            </w:r>
            <w:r>
              <w:rPr>
                <w:rFonts w:hint="eastAsia" w:ascii="仿宋" w:hAnsi="仿宋" w:eastAsia="仿宋" w:cs="宋体"/>
                <w:color w:val="000000" w:themeColor="text1"/>
                <w:kern w:val="0"/>
                <w:sz w:val="24"/>
                <w:szCs w:val="24"/>
                <w:highlight w:val="none"/>
                <w:lang w:eastAsia="zh-CN"/>
                <w14:textFill>
                  <w14:solidFill>
                    <w14:schemeClr w14:val="tx1"/>
                  </w14:solidFill>
                </w14:textFill>
              </w:rPr>
              <w:t>”</w:t>
            </w:r>
            <w:r>
              <w:rPr>
                <w:rFonts w:hint="eastAsia" w:ascii="仿宋" w:hAnsi="仿宋" w:eastAsia="仿宋" w:cs="宋体"/>
                <w:color w:val="000000" w:themeColor="text1"/>
                <w:kern w:val="0"/>
                <w:sz w:val="24"/>
                <w:szCs w:val="24"/>
                <w:highlight w:val="none"/>
                <w:lang w:val="en-US" w:eastAsia="zh-CN"/>
                <w14:textFill>
                  <w14:solidFill>
                    <w14:schemeClr w14:val="tx1"/>
                  </w14:solidFill>
                </w14:textFill>
              </w:rPr>
              <w:t>、“项目商务要求”</w:t>
            </w:r>
            <w:r>
              <w:rPr>
                <w:rFonts w:hint="eastAsia" w:ascii="仿宋" w:hAnsi="仿宋" w:eastAsia="仿宋" w:cs="宋体"/>
                <w:color w:val="000000" w:themeColor="text1"/>
                <w:kern w:val="0"/>
                <w:sz w:val="24"/>
                <w:szCs w:val="24"/>
                <w:highlight w:val="none"/>
                <w14:textFill>
                  <w14:solidFill>
                    <w14:schemeClr w14:val="tx1"/>
                  </w14:solidFill>
                </w14:textFill>
              </w:rPr>
              <w:t>规定的</w:t>
            </w:r>
            <w:r>
              <w:rPr>
                <w:rFonts w:hint="eastAsia" w:ascii="仿宋" w:hAnsi="仿宋" w:eastAsia="仿宋" w:cs="宋体"/>
                <w:color w:val="000000" w:themeColor="text1"/>
                <w:kern w:val="0"/>
                <w:sz w:val="24"/>
                <w:szCs w:val="24"/>
                <w:highlight w:val="none"/>
                <w:lang w:eastAsia="zh-CN"/>
                <w14:textFill>
                  <w14:solidFill>
                    <w14:schemeClr w14:val="tx1"/>
                  </w14:solidFill>
                </w14:textFill>
              </w:rPr>
              <w:t>询比</w:t>
            </w:r>
            <w:r>
              <w:rPr>
                <w:rFonts w:hint="eastAsia" w:ascii="仿宋" w:hAnsi="仿宋" w:eastAsia="仿宋" w:cs="宋体"/>
                <w:color w:val="000000" w:themeColor="text1"/>
                <w:kern w:val="0"/>
                <w:sz w:val="24"/>
                <w:szCs w:val="24"/>
                <w:highlight w:val="none"/>
                <w14:textFill>
                  <w14:solidFill>
                    <w14:schemeClr w14:val="tx1"/>
                  </w14:solidFill>
                </w14:textFill>
              </w:rPr>
              <w:t>内容作出响应。</w:t>
            </w:r>
          </w:p>
        </w:tc>
      </w:tr>
      <w:tr w14:paraId="2CFC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9AA4E1A">
            <w:pPr>
              <w:pageBreakBefore w:val="0"/>
              <w:kinsoku/>
              <w:overflowPunct/>
              <w:topLinePunct w:val="0"/>
              <w:autoSpaceDE/>
              <w:autoSpaceDN/>
              <w:bidi w:val="0"/>
              <w:spacing w:line="240" w:lineRule="auto"/>
              <w:jc w:val="center"/>
              <w:textAlignment w:val="auto"/>
              <w:rPr>
                <w:rFonts w:hint="eastAsia" w:ascii="仿宋" w:hAnsi="仿宋" w:eastAsia="仿宋" w:cs="宋体"/>
                <w:color w:val="000000" w:themeColor="text1"/>
                <w:kern w:val="0"/>
                <w:sz w:val="24"/>
                <w:szCs w:val="24"/>
                <w:highlight w:val="none"/>
                <w14:textFill>
                  <w14:solidFill>
                    <w14:schemeClr w14:val="tx1"/>
                  </w14:solidFill>
                </w14:textFill>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72CA00C">
            <w:pPr>
              <w:pageBreakBefore w:val="0"/>
              <w:kinsoku/>
              <w:overflowPunct/>
              <w:topLinePunct w:val="0"/>
              <w:autoSpaceDE/>
              <w:autoSpaceDN/>
              <w:bidi w:val="0"/>
              <w:spacing w:line="240" w:lineRule="auto"/>
              <w:textAlignment w:val="auto"/>
              <w:rPr>
                <w:rFonts w:hint="eastAsia" w:ascii="仿宋" w:hAnsi="仿宋" w:eastAsia="仿宋" w:cs="仿宋_GB2312"/>
                <w:color w:val="000000" w:themeColor="text1"/>
                <w:sz w:val="24"/>
                <w:szCs w:val="24"/>
                <w:highlight w:val="none"/>
                <w:lang w:val="zh-CN"/>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27C3F1D6">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lang w:eastAsia="zh-CN"/>
                <w14:textFill>
                  <w14:solidFill>
                    <w14:schemeClr w14:val="tx1"/>
                  </w14:solidFill>
                </w14:textFill>
              </w:rPr>
              <w:t>询比</w:t>
            </w:r>
            <w:r>
              <w:rPr>
                <w:rFonts w:hint="eastAsia" w:ascii="仿宋" w:hAnsi="仿宋" w:eastAsia="仿宋" w:cs="宋体"/>
                <w:color w:val="000000" w:themeColor="text1"/>
                <w:kern w:val="0"/>
                <w:sz w:val="24"/>
                <w:szCs w:val="24"/>
                <w:highlight w:val="none"/>
                <w14:textFill>
                  <w14:solidFill>
                    <w14:schemeClr w14:val="tx1"/>
                  </w14:solidFill>
                </w14:textFill>
              </w:rPr>
              <w:t>有效期</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624607B1">
            <w:pPr>
              <w:pageBreakBefore w:val="0"/>
              <w:kinsoku/>
              <w:overflowPunct/>
              <w:topLinePunct w:val="0"/>
              <w:autoSpaceDE/>
              <w:autoSpaceDN/>
              <w:bidi w:val="0"/>
              <w:spacing w:line="240" w:lineRule="auto"/>
              <w:textAlignment w:val="auto"/>
              <w:rPr>
                <w:rFonts w:hint="eastAsia" w:ascii="仿宋" w:hAnsi="仿宋" w:eastAsia="仿宋" w:cs="宋体"/>
                <w:color w:val="000000" w:themeColor="text1"/>
                <w:kern w:val="0"/>
                <w:sz w:val="24"/>
                <w:szCs w:val="24"/>
                <w:highlight w:val="none"/>
                <w14:textFill>
                  <w14:solidFill>
                    <w14:schemeClr w14:val="tx1"/>
                  </w14:solidFill>
                </w14:textFill>
              </w:rPr>
            </w:pPr>
            <w:r>
              <w:rPr>
                <w:rFonts w:hint="eastAsia" w:ascii="仿宋" w:hAnsi="仿宋" w:eastAsia="仿宋" w:cs="宋体"/>
                <w:color w:val="000000" w:themeColor="text1"/>
                <w:kern w:val="0"/>
                <w:sz w:val="24"/>
                <w:szCs w:val="24"/>
                <w:highlight w:val="none"/>
                <w14:textFill>
                  <w14:solidFill>
                    <w14:schemeClr w14:val="tx1"/>
                  </w14:solidFill>
                </w14:textFill>
              </w:rPr>
              <w:t>满足</w:t>
            </w:r>
            <w:r>
              <w:rPr>
                <w:rFonts w:hint="eastAsia" w:ascii="仿宋" w:hAnsi="仿宋" w:eastAsia="仿宋" w:cs="宋体"/>
                <w:color w:val="000000" w:themeColor="text1"/>
                <w:kern w:val="0"/>
                <w:sz w:val="24"/>
                <w:szCs w:val="24"/>
                <w:highlight w:val="none"/>
                <w:lang w:eastAsia="zh-CN"/>
                <w14:textFill>
                  <w14:solidFill>
                    <w14:schemeClr w14:val="tx1"/>
                  </w14:solidFill>
                </w14:textFill>
              </w:rPr>
              <w:t>比选</w:t>
            </w:r>
            <w:r>
              <w:rPr>
                <w:rFonts w:hint="eastAsia" w:ascii="仿宋" w:hAnsi="仿宋" w:eastAsia="仿宋" w:cs="宋体"/>
                <w:color w:val="000000" w:themeColor="text1"/>
                <w:kern w:val="0"/>
                <w:sz w:val="24"/>
                <w:szCs w:val="24"/>
                <w:highlight w:val="none"/>
                <w14:textFill>
                  <w14:solidFill>
                    <w14:schemeClr w14:val="tx1"/>
                  </w14:solidFill>
                </w14:textFill>
              </w:rPr>
              <w:t>文件</w:t>
            </w:r>
            <w:r>
              <w:rPr>
                <w:rFonts w:hint="eastAsia" w:ascii="仿宋" w:hAnsi="仿宋" w:eastAsia="仿宋" w:cs="仿宋_GB2312"/>
                <w:color w:val="000000" w:themeColor="text1"/>
                <w:sz w:val="24"/>
                <w:szCs w:val="24"/>
                <w:highlight w:val="none"/>
                <w:lang w:val="zh-CN"/>
                <w14:textFill>
                  <w14:solidFill>
                    <w14:schemeClr w14:val="tx1"/>
                  </w14:solidFill>
                </w14:textFill>
              </w:rPr>
              <w:t>规定。</w:t>
            </w:r>
          </w:p>
        </w:tc>
      </w:tr>
    </w:tbl>
    <w:p w14:paraId="73F84A0F">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18E0736">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508887A">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（四）在</w:t>
      </w:r>
      <w:r>
        <w:rPr>
          <w:rFonts w:hint="eastAsia" w:ascii="仿宋" w:hAnsi="仿宋" w:eastAsia="仿宋"/>
          <w:color w:val="000000" w:themeColor="text1"/>
          <w:sz w:val="24"/>
          <w:szCs w:val="24"/>
          <w:highlight w:val="none"/>
          <w:lang w:eastAsia="zh-CN"/>
          <w14:textFill>
            <w14:solidFill>
              <w14:schemeClr w14:val="tx1"/>
            </w14:solidFill>
          </w14:textFill>
        </w:rPr>
        <w:t>询比</w:t>
      </w:r>
      <w:r>
        <w:rPr>
          <w:rFonts w:hint="eastAsia" w:ascii="仿宋" w:hAnsi="仿宋" w:eastAsia="仿宋"/>
          <w:color w:val="000000" w:themeColor="text1"/>
          <w:sz w:val="24"/>
          <w:szCs w:val="24"/>
          <w:highlight w:val="none"/>
          <w14:textFill>
            <w14:solidFill>
              <w14:schemeClr w14:val="tx1"/>
            </w14:solidFill>
          </w14:textFill>
        </w:rPr>
        <w:t>过程中</w:t>
      </w:r>
      <w:r>
        <w:rPr>
          <w:rFonts w:hint="eastAsia" w:ascii="仿宋" w:hAnsi="仿宋" w:eastAsia="仿宋"/>
          <w:color w:val="000000" w:themeColor="text1"/>
          <w:sz w:val="24"/>
          <w:szCs w:val="24"/>
          <w:highlight w:val="none"/>
          <w:lang w:eastAsia="zh-CN"/>
          <w14:textFill>
            <w14:solidFill>
              <w14:schemeClr w14:val="tx1"/>
            </w14:solidFill>
          </w14:textFill>
        </w:rPr>
        <w:t>询比</w:t>
      </w:r>
      <w:r>
        <w:rPr>
          <w:rFonts w:hint="eastAsia" w:ascii="仿宋" w:hAnsi="仿宋" w:eastAsia="仿宋"/>
          <w:color w:val="000000" w:themeColor="text1"/>
          <w:sz w:val="24"/>
          <w:szCs w:val="24"/>
          <w:highlight w:val="none"/>
          <w14:textFill>
            <w14:solidFill>
              <w14:schemeClr w14:val="tx1"/>
            </w14:solidFill>
          </w14:textFill>
        </w:rPr>
        <w:t>的任何一方不得向他人透露与</w:t>
      </w:r>
      <w:r>
        <w:rPr>
          <w:rFonts w:hint="eastAsia" w:ascii="仿宋" w:hAnsi="仿宋" w:eastAsia="仿宋"/>
          <w:color w:val="000000" w:themeColor="text1"/>
          <w:sz w:val="24"/>
          <w:szCs w:val="24"/>
          <w:highlight w:val="none"/>
          <w:lang w:eastAsia="zh-CN"/>
          <w14:textFill>
            <w14:solidFill>
              <w14:schemeClr w14:val="tx1"/>
            </w14:solidFill>
          </w14:textFill>
        </w:rPr>
        <w:t>询比</w:t>
      </w:r>
      <w:r>
        <w:rPr>
          <w:rFonts w:hint="eastAsia" w:ascii="仿宋" w:hAnsi="仿宋" w:eastAsia="仿宋"/>
          <w:color w:val="000000" w:themeColor="text1"/>
          <w:sz w:val="24"/>
          <w:szCs w:val="24"/>
          <w:highlight w:val="none"/>
          <w14:textFill>
            <w14:solidFill>
              <w14:schemeClr w14:val="tx1"/>
            </w14:solidFill>
          </w14:textFill>
        </w:rPr>
        <w:t>有关的服务资料、价格或其他信息。</w:t>
      </w:r>
    </w:p>
    <w:p w14:paraId="5DF5CAF7">
      <w:pPr>
        <w:pageBreakBefore w:val="0"/>
        <w:numPr>
          <w:ilvl w:val="0"/>
          <w:numId w:val="0"/>
        </w:numPr>
        <w:kinsoku/>
        <w:wordWrap w:val="0"/>
        <w:overflowPunct/>
        <w:topLinePunct w:val="0"/>
        <w:autoSpaceDE/>
        <w:autoSpaceDN/>
        <w:bidi w:val="0"/>
        <w:spacing w:line="24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（五）供应商在</w:t>
      </w:r>
      <w:r>
        <w:rPr>
          <w:rFonts w:hint="eastAsia" w:ascii="仿宋" w:hAnsi="仿宋" w:eastAsia="仿宋"/>
          <w:color w:val="000000" w:themeColor="text1"/>
          <w:sz w:val="24"/>
          <w:szCs w:val="24"/>
          <w:highlight w:val="none"/>
          <w:lang w:eastAsia="zh-CN"/>
          <w14:textFill>
            <w14:solidFill>
              <w14:schemeClr w14:val="tx1"/>
            </w14:solidFill>
          </w14:textFill>
        </w:rPr>
        <w:t>询比</w:t>
      </w:r>
      <w:r>
        <w:rPr>
          <w:rFonts w:hint="eastAsia" w:ascii="仿宋" w:hAnsi="仿宋" w:eastAsia="仿宋"/>
          <w:color w:val="000000" w:themeColor="text1"/>
          <w:sz w:val="24"/>
          <w:szCs w:val="24"/>
          <w:highlight w:val="none"/>
          <w14:textFill>
            <w14:solidFill>
              <w14:schemeClr w14:val="tx1"/>
            </w14:solidFill>
          </w14:textFill>
        </w:rPr>
        <w:t>时作出的所有书面承诺须由法定代表人或其授权代表签字。</w:t>
      </w:r>
    </w:p>
    <w:p w14:paraId="0D33E1B7">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.评审标准</w:t>
      </w:r>
    </w:p>
    <w:tbl>
      <w:tblPr>
        <w:tblStyle w:val="18"/>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158"/>
        <w:gridCol w:w="1032"/>
        <w:gridCol w:w="4770"/>
        <w:gridCol w:w="2456"/>
      </w:tblGrid>
      <w:tr w14:paraId="037C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4" w:type="dxa"/>
            <w:vAlign w:val="center"/>
          </w:tcPr>
          <w:p w14:paraId="6BD48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序号</w:t>
            </w:r>
          </w:p>
        </w:tc>
        <w:tc>
          <w:tcPr>
            <w:tcW w:w="1158" w:type="dxa"/>
            <w:vAlign w:val="center"/>
          </w:tcPr>
          <w:p w14:paraId="4530A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评分因素及权重</w:t>
            </w:r>
          </w:p>
        </w:tc>
        <w:tc>
          <w:tcPr>
            <w:tcW w:w="1032" w:type="dxa"/>
            <w:vAlign w:val="center"/>
          </w:tcPr>
          <w:p w14:paraId="0930B4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分值</w:t>
            </w:r>
          </w:p>
        </w:tc>
        <w:tc>
          <w:tcPr>
            <w:tcW w:w="4770" w:type="dxa"/>
            <w:vAlign w:val="center"/>
          </w:tcPr>
          <w:p w14:paraId="5A08C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评分标准</w:t>
            </w:r>
          </w:p>
        </w:tc>
        <w:tc>
          <w:tcPr>
            <w:tcW w:w="2456" w:type="dxa"/>
            <w:vAlign w:val="center"/>
          </w:tcPr>
          <w:p w14:paraId="4035686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0"/>
              <w:jc w:val="center"/>
              <w:textAlignment w:val="auto"/>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说明</w:t>
            </w:r>
          </w:p>
        </w:tc>
      </w:tr>
      <w:tr w14:paraId="0CA2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109047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1158" w:type="dxa"/>
            <w:vAlign w:val="center"/>
          </w:tcPr>
          <w:p w14:paraId="37D60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投标报价（</w:t>
            </w:r>
            <w:r>
              <w:rPr>
                <w:rFonts w:hint="eastAsia" w:ascii="仿宋" w:hAnsi="仿宋" w:eastAsia="仿宋" w:cs="仿宋"/>
                <w:color w:val="000000" w:themeColor="text1"/>
                <w:sz w:val="24"/>
                <w:szCs w:val="24"/>
                <w:highlight w:val="none"/>
                <w:lang w:val="en-US" w:eastAsia="zh-CN"/>
                <w14:textFill>
                  <w14:solidFill>
                    <w14:schemeClr w14:val="tx1"/>
                  </w14:solidFill>
                </w14:textFill>
              </w:rPr>
              <w:t>15</w:t>
            </w:r>
            <w:r>
              <w:rPr>
                <w:rFonts w:hint="eastAsia" w:ascii="仿宋" w:hAnsi="仿宋" w:eastAsia="仿宋" w:cs="仿宋"/>
                <w:color w:val="000000" w:themeColor="text1"/>
                <w:sz w:val="24"/>
                <w:szCs w:val="24"/>
                <w:highlight w:val="none"/>
                <w14:textFill>
                  <w14:solidFill>
                    <w14:schemeClr w14:val="tx1"/>
                  </w14:solidFill>
                </w14:textFill>
              </w:rPr>
              <w:t>%）</w:t>
            </w:r>
          </w:p>
        </w:tc>
        <w:tc>
          <w:tcPr>
            <w:tcW w:w="1032" w:type="dxa"/>
            <w:vAlign w:val="center"/>
          </w:tcPr>
          <w:p w14:paraId="7D6156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w:t>
            </w:r>
          </w:p>
        </w:tc>
        <w:tc>
          <w:tcPr>
            <w:tcW w:w="4770" w:type="dxa"/>
            <w:vAlign w:val="center"/>
          </w:tcPr>
          <w:p w14:paraId="6B9C2B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有效的投标报价中的最低价为评标基准价，其价格分为满分。其他投标人的价格分统一按照下列公式计算：</w:t>
            </w:r>
          </w:p>
          <w:p w14:paraId="4704E1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投标报价得分＝（评标基准价/投标报价）×价格权重×100。</w:t>
            </w:r>
          </w:p>
        </w:tc>
        <w:tc>
          <w:tcPr>
            <w:tcW w:w="2456" w:type="dxa"/>
            <w:vAlign w:val="center"/>
          </w:tcPr>
          <w:p w14:paraId="457E1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p>
        </w:tc>
      </w:tr>
      <w:tr w14:paraId="2825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restart"/>
            <w:vAlign w:val="center"/>
          </w:tcPr>
          <w:p w14:paraId="24DED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p>
        </w:tc>
        <w:tc>
          <w:tcPr>
            <w:tcW w:w="1158" w:type="dxa"/>
            <w:vMerge w:val="restart"/>
            <w:vAlign w:val="center"/>
          </w:tcPr>
          <w:p w14:paraId="74BCDA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技术（质量）部分</w:t>
            </w:r>
          </w:p>
          <w:p w14:paraId="33B5E0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70</w:t>
            </w:r>
            <w:r>
              <w:rPr>
                <w:rFonts w:hint="eastAsia" w:ascii="仿宋" w:hAnsi="仿宋" w:eastAsia="仿宋" w:cs="仿宋"/>
                <w:color w:val="000000" w:themeColor="text1"/>
                <w:sz w:val="24"/>
                <w:szCs w:val="24"/>
                <w:highlight w:val="none"/>
                <w14:textFill>
                  <w14:solidFill>
                    <w14:schemeClr w14:val="tx1"/>
                  </w14:solidFill>
                </w14:textFill>
              </w:rPr>
              <w:t>%）</w:t>
            </w:r>
          </w:p>
        </w:tc>
        <w:tc>
          <w:tcPr>
            <w:tcW w:w="1032" w:type="dxa"/>
            <w:vAlign w:val="center"/>
          </w:tcPr>
          <w:p w14:paraId="396281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p>
        </w:tc>
        <w:tc>
          <w:tcPr>
            <w:tcW w:w="4770" w:type="dxa"/>
            <w:vAlign w:val="center"/>
          </w:tcPr>
          <w:p w14:paraId="37C5D5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根据</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提供的采购代理工作总体方案进行评审</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包括组织机构设置，服务措施，代理招标流程、服务质量保障，项目完成后的归档方案</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0D9633E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内容包含上述内容，且符合本项目实际情况，内容不存在瑕疵得</w:t>
            </w: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r>
              <w:rPr>
                <w:rFonts w:hint="eastAsia" w:ascii="仿宋" w:hAnsi="仿宋" w:eastAsia="仿宋" w:cs="仿宋"/>
                <w:color w:val="000000" w:themeColor="text1"/>
                <w:sz w:val="24"/>
                <w:szCs w:val="24"/>
                <w:highlight w:val="none"/>
                <w14:textFill>
                  <w14:solidFill>
                    <w14:schemeClr w14:val="tx1"/>
                  </w14:solidFill>
                </w14:textFill>
              </w:rPr>
              <w:t>分；</w:t>
            </w:r>
          </w:p>
          <w:p w14:paraId="498BFE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存在1处瑕疵得1</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分；</w:t>
            </w:r>
          </w:p>
          <w:p w14:paraId="278180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存在2处瑕疵得</w:t>
            </w:r>
            <w:r>
              <w:rPr>
                <w:rFonts w:hint="eastAsia" w:ascii="仿宋" w:hAnsi="仿宋" w:eastAsia="仿宋" w:cs="仿宋"/>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color w:val="000000" w:themeColor="text1"/>
                <w:sz w:val="24"/>
                <w:szCs w:val="24"/>
                <w:highlight w:val="none"/>
                <w14:textFill>
                  <w14:solidFill>
                    <w14:schemeClr w14:val="tx1"/>
                  </w14:solidFill>
                </w14:textFill>
              </w:rPr>
              <w:t>分；</w:t>
            </w:r>
          </w:p>
          <w:p w14:paraId="61848D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存在3处瑕疵得</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分；</w:t>
            </w:r>
          </w:p>
          <w:p w14:paraId="34D7B4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存在4处及以上瑕疵得0分。</w:t>
            </w:r>
          </w:p>
        </w:tc>
        <w:tc>
          <w:tcPr>
            <w:tcW w:w="2456" w:type="dxa"/>
            <w:vMerge w:val="restart"/>
            <w:vAlign w:val="center"/>
          </w:tcPr>
          <w:p w14:paraId="39B613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内容中所称的“瑕疵”包含但不限于以下内容：①内容表述不完整或缺少关键分析点或情况介绍说明；②无科学合理性、无可行性或先进性；③内容表述前后矛盾、无连贯性、内容存在逻辑漏洞；④常识性错误；⑤并不适用本项目特性或非专门针对本项目制定；⑥不利于本项目目标的实现，不适用于采购人单位现有情况；⑦现有技术条件下不可能实现采购目标；上述任意一种情形为1处瑕疵。</w:t>
            </w:r>
          </w:p>
          <w:p w14:paraId="63A61A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586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04" w:type="dxa"/>
            <w:vMerge w:val="continue"/>
            <w:vAlign w:val="center"/>
          </w:tcPr>
          <w:p w14:paraId="2B943A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158" w:type="dxa"/>
            <w:vMerge w:val="continue"/>
            <w:vAlign w:val="center"/>
          </w:tcPr>
          <w:p w14:paraId="08D13F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032" w:type="dxa"/>
            <w:vAlign w:val="center"/>
          </w:tcPr>
          <w:p w14:paraId="18A7FF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p>
        </w:tc>
        <w:tc>
          <w:tcPr>
            <w:tcW w:w="4770" w:type="dxa"/>
            <w:vAlign w:val="center"/>
          </w:tcPr>
          <w:p w14:paraId="040AB5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2、根据</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提供的招标项目防范风险措施进行评审</w:t>
            </w:r>
            <w:r>
              <w:rPr>
                <w:rFonts w:hint="eastAsia" w:ascii="仿宋" w:hAnsi="仿宋" w:eastAsia="仿宋" w:cs="仿宋"/>
                <w:color w:val="000000" w:themeColor="text1"/>
                <w:sz w:val="24"/>
                <w:szCs w:val="24"/>
                <w:highlight w:val="none"/>
                <w:lang w:eastAsia="zh-CN"/>
                <w14:textFill>
                  <w14:solidFill>
                    <w14:schemeClr w14:val="tx1"/>
                  </w14:solidFill>
                </w14:textFill>
              </w:rPr>
              <w:t>，包括项目风险识别与评估、质量与进度风险防范措施、人员保障与应急响应机制、质疑投诉内部处理流程、合法合规与诚信自律承诺</w:t>
            </w:r>
            <w:r>
              <w:rPr>
                <w:rFonts w:hint="eastAsia" w:ascii="仿宋" w:hAnsi="仿宋" w:eastAsia="仿宋" w:cs="仿宋"/>
                <w:color w:val="000000" w:themeColor="text1"/>
                <w:sz w:val="24"/>
                <w:szCs w:val="24"/>
                <w:highlight w:val="none"/>
                <w14:textFill>
                  <w14:solidFill>
                    <w14:schemeClr w14:val="tx1"/>
                  </w14:solidFill>
                </w14:textFill>
              </w:rPr>
              <w:t>。</w:t>
            </w:r>
          </w:p>
          <w:p w14:paraId="7B1D11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内容包含上述内容，且符合本项目实际情况，内容不存在瑕疵得20分；</w:t>
            </w:r>
          </w:p>
          <w:p w14:paraId="51FDDD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存在1处瑕疵得15分；</w:t>
            </w:r>
          </w:p>
          <w:p w14:paraId="601F7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存在2处瑕疵得10分；</w:t>
            </w:r>
          </w:p>
          <w:p w14:paraId="6BD138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存在3处瑕疵得5分；</w:t>
            </w:r>
          </w:p>
          <w:p w14:paraId="24DD95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存在4处及以上瑕疵得0分。</w:t>
            </w:r>
          </w:p>
        </w:tc>
        <w:tc>
          <w:tcPr>
            <w:tcW w:w="2456" w:type="dxa"/>
            <w:vMerge w:val="continue"/>
            <w:vAlign w:val="center"/>
          </w:tcPr>
          <w:p w14:paraId="406D4A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4321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continue"/>
            <w:vAlign w:val="center"/>
          </w:tcPr>
          <w:p w14:paraId="75194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158" w:type="dxa"/>
            <w:vMerge w:val="continue"/>
            <w:vAlign w:val="center"/>
          </w:tcPr>
          <w:p w14:paraId="4574F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032" w:type="dxa"/>
            <w:vAlign w:val="center"/>
          </w:tcPr>
          <w:p w14:paraId="73EA65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w:t>
            </w:r>
          </w:p>
        </w:tc>
        <w:tc>
          <w:tcPr>
            <w:tcW w:w="4770" w:type="dxa"/>
            <w:vAlign w:val="center"/>
          </w:tcPr>
          <w:p w14:paraId="05F27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3、根据</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提供的项目执行、管理规章、工作制度明细进行评审</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包括</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提供的项目执行方案是否合规、完整，内控及其他日常管理制度执行是否到位、质疑投诉处理分析、与采购人交流配合、</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是否有完备的内部管理制度、岗位分离及制衡</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内控管理制度、保密制度及法务、财务制度</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209D2C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内容包含上述内容，且符合本项目实际情况，内容不存在瑕疵得15分；</w:t>
            </w:r>
          </w:p>
          <w:p w14:paraId="24883F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存在1处瑕疵得11分；</w:t>
            </w:r>
          </w:p>
          <w:p w14:paraId="46006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存在2处瑕疵得7分；</w:t>
            </w:r>
          </w:p>
          <w:p w14:paraId="4AF695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存在3处瑕疵得3分；</w:t>
            </w:r>
          </w:p>
          <w:p w14:paraId="649BCE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存在4处及以上瑕疵得0分。</w:t>
            </w:r>
          </w:p>
        </w:tc>
        <w:tc>
          <w:tcPr>
            <w:tcW w:w="2456" w:type="dxa"/>
            <w:vMerge w:val="continue"/>
            <w:vAlign w:val="center"/>
          </w:tcPr>
          <w:p w14:paraId="7118DA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51B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continue"/>
            <w:vAlign w:val="center"/>
          </w:tcPr>
          <w:p w14:paraId="48B520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158" w:type="dxa"/>
            <w:vMerge w:val="continue"/>
            <w:vAlign w:val="center"/>
          </w:tcPr>
          <w:p w14:paraId="3A7C69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032" w:type="dxa"/>
            <w:vAlign w:val="center"/>
          </w:tcPr>
          <w:p w14:paraId="31D0C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w:t>
            </w:r>
          </w:p>
        </w:tc>
        <w:tc>
          <w:tcPr>
            <w:tcW w:w="4770" w:type="dxa"/>
            <w:vAlign w:val="center"/>
          </w:tcPr>
          <w:p w14:paraId="2FF80E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4、根据</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提供的服务团队安排、人员培训及进度计划方案情况进行评审</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包括</w:t>
            </w:r>
            <w:r>
              <w:rPr>
                <w:rFonts w:hint="eastAsia" w:ascii="仿宋" w:hAnsi="仿宋" w:eastAsia="仿宋" w:cs="仿宋"/>
                <w:color w:val="000000" w:themeColor="text1"/>
                <w:sz w:val="24"/>
                <w:szCs w:val="24"/>
                <w:highlight w:val="none"/>
                <w:lang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提供的人员是否专业、人员培训情况、项目进度计划方案安排是否全面、推进是否有力</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4615D9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内容包含上述内容，且符合本项目实际情况，内容不存在瑕疵得15分；</w:t>
            </w:r>
          </w:p>
          <w:p w14:paraId="732EA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存在1处瑕疵得11分；</w:t>
            </w:r>
          </w:p>
          <w:p w14:paraId="7C2335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存在2处瑕疵得7分；</w:t>
            </w:r>
          </w:p>
          <w:p w14:paraId="4DE7F3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存在3处瑕疵得3分；</w:t>
            </w:r>
          </w:p>
          <w:p w14:paraId="4CA2B5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存在4处及以上瑕疵得0分。</w:t>
            </w:r>
          </w:p>
        </w:tc>
        <w:tc>
          <w:tcPr>
            <w:tcW w:w="2456" w:type="dxa"/>
            <w:vMerge w:val="continue"/>
            <w:vAlign w:val="center"/>
          </w:tcPr>
          <w:p w14:paraId="2D4DF1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110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04" w:type="dxa"/>
            <w:vMerge w:val="restart"/>
            <w:vAlign w:val="center"/>
          </w:tcPr>
          <w:p w14:paraId="2BD5F1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w:t>
            </w:r>
          </w:p>
        </w:tc>
        <w:tc>
          <w:tcPr>
            <w:tcW w:w="1158" w:type="dxa"/>
            <w:vMerge w:val="restart"/>
            <w:vAlign w:val="center"/>
          </w:tcPr>
          <w:p w14:paraId="1BD695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商务部分</w:t>
            </w:r>
          </w:p>
          <w:p w14:paraId="633E7C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15</w:t>
            </w:r>
            <w:r>
              <w:rPr>
                <w:rFonts w:hint="eastAsia" w:ascii="仿宋" w:hAnsi="仿宋" w:eastAsia="仿宋" w:cs="仿宋"/>
                <w:color w:val="000000" w:themeColor="text1"/>
                <w:sz w:val="24"/>
                <w:szCs w:val="24"/>
                <w:highlight w:val="none"/>
                <w14:textFill>
                  <w14:solidFill>
                    <w14:schemeClr w14:val="tx1"/>
                  </w14:solidFill>
                </w14:textFill>
              </w:rPr>
              <w:t>%）</w:t>
            </w:r>
          </w:p>
        </w:tc>
        <w:tc>
          <w:tcPr>
            <w:tcW w:w="1032" w:type="dxa"/>
            <w:vAlign w:val="center"/>
          </w:tcPr>
          <w:p w14:paraId="79744E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p>
        </w:tc>
        <w:tc>
          <w:tcPr>
            <w:tcW w:w="4770" w:type="dxa"/>
            <w:vAlign w:val="center"/>
          </w:tcPr>
          <w:p w14:paraId="783F11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服务团队</w:t>
            </w:r>
          </w:p>
          <w:p w14:paraId="321D5A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拟派服务于本项目的人员获得过政府采购代理机构从业人员培训证书，每提供1名得</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分，本项最多得</w:t>
            </w: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lang w:eastAsia="zh-CN"/>
                <w14:textFill>
                  <w14:solidFill>
                    <w14:schemeClr w14:val="tx1"/>
                  </w14:solidFill>
                </w14:textFill>
              </w:rPr>
              <w:t>分。</w:t>
            </w:r>
          </w:p>
          <w:p w14:paraId="4A63F4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注：成交后，服务期限内，未经采购人书面同意不得更换。</w:t>
            </w:r>
          </w:p>
        </w:tc>
        <w:tc>
          <w:tcPr>
            <w:tcW w:w="2456" w:type="dxa"/>
            <w:vAlign w:val="center"/>
          </w:tcPr>
          <w:p w14:paraId="17CEBC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提供</w:t>
            </w:r>
            <w:r>
              <w:rPr>
                <w:rFonts w:hint="eastAsia" w:ascii="仿宋" w:hAnsi="仿宋" w:eastAsia="仿宋" w:cs="仿宋"/>
                <w:color w:val="000000" w:themeColor="text1"/>
                <w:sz w:val="24"/>
                <w:szCs w:val="24"/>
                <w:highlight w:val="none"/>
                <w:lang w:eastAsia="zh-CN"/>
                <w14:textFill>
                  <w14:solidFill>
                    <w14:schemeClr w14:val="tx1"/>
                  </w14:solidFill>
                </w14:textFill>
              </w:rPr>
              <w:t>人员证书复印件以及</w:t>
            </w:r>
            <w:r>
              <w:rPr>
                <w:rFonts w:hint="eastAsia" w:ascii="仿宋" w:hAnsi="仿宋" w:eastAsia="仿宋" w:cs="仿宋"/>
                <w:color w:val="000000" w:themeColor="text1"/>
                <w:sz w:val="24"/>
                <w:szCs w:val="24"/>
                <w:highlight w:val="none"/>
                <w14:textFill>
                  <w14:solidFill>
                    <w14:schemeClr w14:val="tx1"/>
                  </w14:solidFill>
                </w14:textFill>
              </w:rPr>
              <w:t>供应商为其缴纳的2026年任意一个月的社保证明并加盖供应商公章。</w:t>
            </w:r>
          </w:p>
        </w:tc>
      </w:tr>
      <w:tr w14:paraId="036C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4" w:type="dxa"/>
            <w:vMerge w:val="continue"/>
            <w:vAlign w:val="center"/>
          </w:tcPr>
          <w:p w14:paraId="041F14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158" w:type="dxa"/>
            <w:vMerge w:val="continue"/>
            <w:vAlign w:val="center"/>
          </w:tcPr>
          <w:p w14:paraId="6EE5C4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1032" w:type="dxa"/>
            <w:vAlign w:val="center"/>
          </w:tcPr>
          <w:p w14:paraId="7D434C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w:t>
            </w:r>
          </w:p>
        </w:tc>
        <w:tc>
          <w:tcPr>
            <w:tcW w:w="4770" w:type="dxa"/>
            <w:vAlign w:val="center"/>
          </w:tcPr>
          <w:p w14:paraId="30151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2、业绩</w:t>
            </w:r>
          </w:p>
          <w:p w14:paraId="3C134B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自202</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default" w:ascii="仿宋" w:hAnsi="仿宋" w:eastAsia="仿宋" w:cs="仿宋"/>
                <w:color w:val="000000" w:themeColor="text1"/>
                <w:sz w:val="24"/>
                <w:szCs w:val="24"/>
                <w:highlight w:val="none"/>
                <w:lang w:val="en-US" w:eastAsia="zh-CN"/>
                <w14:textFill>
                  <w14:solidFill>
                    <w14:schemeClr w14:val="tx1"/>
                  </w14:solidFill>
                </w14:textFill>
              </w:rPr>
              <w:t>年1月1日起至</w:t>
            </w:r>
            <w:r>
              <w:rPr>
                <w:rFonts w:hint="eastAsia" w:ascii="仿宋" w:hAnsi="仿宋" w:eastAsia="仿宋" w:cs="仿宋"/>
                <w:color w:val="000000" w:themeColor="text1"/>
                <w:sz w:val="24"/>
                <w:szCs w:val="24"/>
                <w:highlight w:val="none"/>
                <w:lang w:val="en-US" w:eastAsia="zh-CN"/>
                <w14:textFill>
                  <w14:solidFill>
                    <w14:schemeClr w14:val="tx1"/>
                  </w14:solidFill>
                </w14:textFill>
              </w:rPr>
              <w:t>投标</w:t>
            </w:r>
            <w:r>
              <w:rPr>
                <w:rFonts w:hint="default" w:ascii="仿宋" w:hAnsi="仿宋" w:eastAsia="仿宋" w:cs="仿宋"/>
                <w:color w:val="000000" w:themeColor="text1"/>
                <w:sz w:val="24"/>
                <w:szCs w:val="24"/>
                <w:highlight w:val="none"/>
                <w:lang w:val="en-US" w:eastAsia="zh-CN"/>
                <w14:textFill>
                  <w14:solidFill>
                    <w14:schemeClr w14:val="tx1"/>
                  </w14:solidFill>
                </w14:textFill>
              </w:rPr>
              <w:t>截止时间，供应商具有招标代理业绩的，每提供1个得2.5分，最多得10分。</w:t>
            </w:r>
          </w:p>
        </w:tc>
        <w:tc>
          <w:tcPr>
            <w:tcW w:w="2456" w:type="dxa"/>
            <w:vAlign w:val="center"/>
          </w:tcPr>
          <w:p w14:paraId="093DD9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提供代理合同复印件并加盖供应商公章。</w:t>
            </w:r>
          </w:p>
        </w:tc>
      </w:tr>
    </w:tbl>
    <w:p w14:paraId="762D5EAC">
      <w:pPr>
        <w:pStyle w:val="5"/>
        <w:pageBreakBefore w:val="0"/>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r>
        <w:rPr>
          <w:rFonts w:hint="eastAsia" w:ascii="仿宋" w:hAnsi="仿宋" w:eastAsia="仿宋" w:cs="仿宋"/>
          <w:color w:val="000000" w:themeColor="text1"/>
          <w:sz w:val="28"/>
          <w:szCs w:val="22"/>
          <w:highlight w:val="none"/>
          <w14:textFill>
            <w14:solidFill>
              <w14:schemeClr w14:val="tx1"/>
            </w14:solidFill>
          </w14:textFill>
        </w:rPr>
        <w:t>十、供应商提交响应文件</w:t>
      </w:r>
    </w:p>
    <w:p w14:paraId="088E7E2E">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（一）投标文件的签署与份数</w:t>
      </w:r>
    </w:p>
    <w:p w14:paraId="19CFA620">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（1）投标文件一式两份，其中正本一份，副本一份。副本应为正本的完整复印件，副本与正本不一致时以正本为准。</w:t>
      </w:r>
    </w:p>
    <w:p w14:paraId="7741BB6F">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（2）投标文件正本每一页应加盖公章（投标文件格式中规定签字、盖章的地方必须按其规定签字、盖章）。</w:t>
      </w:r>
    </w:p>
    <w:p w14:paraId="106F5D9B">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（3）若投标人对投标文件的错处作必要修改，则应在修改处加盖投标人公章或由法人或法人授权代表签字确认。</w:t>
      </w:r>
    </w:p>
    <w:p w14:paraId="5D9EFE2E">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（4）电报、电话、传真形式的投标文件概不接受。</w:t>
      </w:r>
    </w:p>
    <w:p w14:paraId="267617B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（二）投标文件正副本封面标记要求</w:t>
      </w:r>
    </w:p>
    <w:p w14:paraId="3725F0B4">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投标文件的正本、副本的封面上均应注明项目名称、项目编号、投标人名称、“正本”、“副本”“投标文件”字样，并在封面上加盖投标人公章。</w:t>
      </w:r>
    </w:p>
    <w:p w14:paraId="15407D98">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（三）投标文件的包装（装袋）及包装（装袋）封面要求</w:t>
      </w:r>
    </w:p>
    <w:p w14:paraId="5AC595E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（1）如项目有两个及以上分包的，则每一分包单独一套投标资料进行包装（装袋）；</w:t>
      </w:r>
    </w:p>
    <w:p w14:paraId="76F2A90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（2）投标文件的正副本包装在一起（装成一袋）；</w:t>
      </w:r>
    </w:p>
    <w:p w14:paraId="2D8F47C6">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（3）投标文件的包装或装袋的封面上应注明项目名称、项目编号、所投分包号（在项目有两个及以上分包时应注明所投分包号）、投标人名称、“投标文件”字样。</w:t>
      </w:r>
      <w:bookmarkStart w:id="21" w:name="_Toc477027607"/>
      <w:r>
        <w:rPr>
          <w:rFonts w:hint="eastAsia" w:ascii="仿宋" w:hAnsi="仿宋" w:eastAsia="仿宋" w:cs="仿宋"/>
          <w:color w:val="000000" w:themeColor="text1"/>
          <w:highlight w:val="none"/>
          <w14:textFill>
            <w14:solidFill>
              <w14:schemeClr w14:val="tx1"/>
            </w14:solidFill>
          </w14:textFill>
        </w:rPr>
        <w:t>包装封口处进行密封。</w:t>
      </w:r>
    </w:p>
    <w:bookmarkEnd w:id="21"/>
    <w:p w14:paraId="33A1EB50">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（四）如果采购文件要求必须提交的相关原件，原件应单独装袋（可以不进行密封），但应在装袋上标明“相关原件”及公司的名称。</w:t>
      </w:r>
    </w:p>
    <w:bookmarkEnd w:id="3"/>
    <w:bookmarkEnd w:id="4"/>
    <w:p w14:paraId="45968CB1">
      <w:pPr>
        <w:pStyle w:val="5"/>
        <w:pageBreakBefore w:val="0"/>
        <w:kinsoku/>
        <w:overflowPunct/>
        <w:topLinePunct w:val="0"/>
        <w:autoSpaceDE/>
        <w:autoSpaceDN/>
        <w:bidi w:val="0"/>
        <w:spacing w:before="0" w:after="0" w:line="240" w:lineRule="auto"/>
        <w:ind w:firstLine="394"/>
        <w:textAlignment w:val="auto"/>
        <w:rPr>
          <w:rFonts w:hint="eastAsia" w:ascii="仿宋" w:hAnsi="仿宋" w:eastAsia="仿宋" w:cs="仿宋"/>
          <w:color w:val="000000" w:themeColor="text1"/>
          <w:sz w:val="28"/>
          <w:szCs w:val="22"/>
          <w:highlight w:val="none"/>
          <w14:textFill>
            <w14:solidFill>
              <w14:schemeClr w14:val="tx1"/>
            </w14:solidFill>
          </w14:textFill>
        </w:rPr>
      </w:pPr>
      <w:bookmarkStart w:id="22" w:name="_Toc4152"/>
      <w:r>
        <w:rPr>
          <w:rFonts w:hint="eastAsia" w:ascii="仿宋" w:hAnsi="仿宋" w:eastAsia="仿宋" w:cs="仿宋"/>
          <w:color w:val="000000" w:themeColor="text1"/>
          <w:sz w:val="28"/>
          <w:szCs w:val="22"/>
          <w:highlight w:val="none"/>
          <w14:textFill>
            <w14:solidFill>
              <w14:schemeClr w14:val="tx1"/>
            </w14:solidFill>
          </w14:textFill>
        </w:rPr>
        <w:t>十</w:t>
      </w:r>
      <w:r>
        <w:rPr>
          <w:rFonts w:hint="eastAsia" w:ascii="仿宋" w:hAnsi="仿宋" w:eastAsia="仿宋" w:cs="仿宋"/>
          <w:color w:val="000000" w:themeColor="text1"/>
          <w:sz w:val="28"/>
          <w:szCs w:val="22"/>
          <w:highlight w:val="none"/>
          <w:lang w:val="en-US" w:eastAsia="zh-CN"/>
          <w14:textFill>
            <w14:solidFill>
              <w14:schemeClr w14:val="tx1"/>
            </w14:solidFill>
          </w14:textFill>
        </w:rPr>
        <w:t>一</w:t>
      </w:r>
      <w:r>
        <w:rPr>
          <w:rFonts w:hint="eastAsia" w:ascii="仿宋" w:hAnsi="仿宋" w:eastAsia="仿宋" w:cs="仿宋"/>
          <w:color w:val="000000" w:themeColor="text1"/>
          <w:sz w:val="28"/>
          <w:szCs w:val="22"/>
          <w:highlight w:val="none"/>
          <w14:textFill>
            <w14:solidFill>
              <w14:schemeClr w14:val="tx1"/>
            </w14:solidFill>
          </w14:textFill>
        </w:rPr>
        <w:t>、无效响应</w:t>
      </w:r>
      <w:bookmarkEnd w:id="22"/>
    </w:p>
    <w:p w14:paraId="1CC4C3B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供应商发生以下条款情况之一者，视为无效响应，其响应文件将被拒绝：</w:t>
      </w:r>
    </w:p>
    <w:p w14:paraId="470BEDC9">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（一）供应商不符合规定的基本资格条件或特定资格条件的；</w:t>
      </w:r>
    </w:p>
    <w:p w14:paraId="15FD7B40">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二</w:t>
      </w:r>
      <w:r>
        <w:rPr>
          <w:rFonts w:hint="eastAsia" w:ascii="仿宋" w:hAnsi="仿宋" w:eastAsia="仿宋" w:cs="仿宋"/>
          <w:color w:val="000000" w:themeColor="text1"/>
          <w:highlight w:val="none"/>
          <w14:textFill>
            <w14:solidFill>
              <w14:schemeClr w14:val="tx1"/>
            </w14:solidFill>
          </w14:textFill>
        </w:rPr>
        <w:t>）供应商未按照采购文件的要求缴纳投标保证金</w:t>
      </w:r>
      <w:r>
        <w:rPr>
          <w:rFonts w:hint="eastAsia" w:ascii="仿宋" w:hAnsi="仿宋" w:eastAsia="仿宋" w:cs="仿宋"/>
          <w:color w:val="000000" w:themeColor="text1"/>
          <w:highlight w:val="none"/>
          <w:lang w:eastAsia="zh-CN"/>
          <w14:textFill>
            <w14:solidFill>
              <w14:schemeClr w14:val="tx1"/>
            </w14:solidFill>
          </w14:textFill>
        </w:rPr>
        <w:t>（如果有）</w:t>
      </w:r>
      <w:r>
        <w:rPr>
          <w:rFonts w:hint="eastAsia" w:ascii="仿宋" w:hAnsi="仿宋" w:eastAsia="仿宋" w:cs="仿宋"/>
          <w:color w:val="000000" w:themeColor="text1"/>
          <w:highlight w:val="none"/>
          <w14:textFill>
            <w14:solidFill>
              <w14:schemeClr w14:val="tx1"/>
            </w14:solidFill>
          </w14:textFill>
        </w:rPr>
        <w:t>；</w:t>
      </w:r>
    </w:p>
    <w:p w14:paraId="42B6D12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三</w:t>
      </w:r>
      <w:r>
        <w:rPr>
          <w:rFonts w:hint="eastAsia" w:ascii="仿宋" w:hAnsi="仿宋" w:eastAsia="仿宋" w:cs="仿宋"/>
          <w:color w:val="000000" w:themeColor="text1"/>
          <w:highlight w:val="none"/>
          <w14:textFill>
            <w14:solidFill>
              <w14:schemeClr w14:val="tx1"/>
            </w14:solidFill>
          </w14:textFill>
        </w:rPr>
        <w:t>）供应商所提交的响应文件不按“供应商提交响应文件”规定签字、盖章；</w:t>
      </w:r>
    </w:p>
    <w:p w14:paraId="35E55A4D">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eastAsia="zh-CN"/>
          <w14:textFill>
            <w14:solidFill>
              <w14:schemeClr w14:val="tx1"/>
            </w14:solidFill>
          </w14:textFill>
        </w:rPr>
        <w:t>四</w:t>
      </w:r>
      <w:r>
        <w:rPr>
          <w:rFonts w:hint="eastAsia" w:ascii="仿宋" w:hAnsi="仿宋" w:eastAsia="仿宋" w:cs="仿宋"/>
          <w:color w:val="000000" w:themeColor="text1"/>
          <w:highlight w:val="none"/>
          <w14:textFill>
            <w14:solidFill>
              <w14:schemeClr w14:val="tx1"/>
            </w14:solidFill>
          </w14:textFill>
        </w:rPr>
        <w:t>）供应商的最后报价超过采购限价的；</w:t>
      </w:r>
    </w:p>
    <w:p w14:paraId="741D032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五</w:t>
      </w:r>
      <w:r>
        <w:rPr>
          <w:rFonts w:hint="eastAsia" w:ascii="仿宋" w:hAnsi="仿宋" w:eastAsia="仿宋" w:cs="仿宋"/>
          <w:color w:val="000000" w:themeColor="text1"/>
          <w:highlight w:val="none"/>
          <w14:textFill>
            <w14:solidFill>
              <w14:schemeClr w14:val="tx1"/>
            </w14:solidFill>
          </w14:textFill>
        </w:rPr>
        <w:t>）法定代表人为同一个人的两个及两个以上法人，母公司、全资子公司及其控股公司，在同一分包采购中同时参与投标；</w:t>
      </w:r>
    </w:p>
    <w:p w14:paraId="48828B41">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六</w:t>
      </w:r>
      <w:r>
        <w:rPr>
          <w:rFonts w:hint="eastAsia" w:ascii="仿宋" w:hAnsi="仿宋" w:eastAsia="仿宋" w:cs="仿宋"/>
          <w:color w:val="000000" w:themeColor="text1"/>
          <w:highlight w:val="none"/>
          <w14:textFill>
            <w14:solidFill>
              <w14:schemeClr w14:val="tx1"/>
            </w14:solidFill>
          </w14:textFill>
        </w:rPr>
        <w:t>）单位负责人为同一人或者存在直接控股、管理关系的不同供应商，参加同一合同项下的政府采购活动的；</w:t>
      </w:r>
    </w:p>
    <w:p w14:paraId="575C7501">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七</w:t>
      </w:r>
      <w:r>
        <w:rPr>
          <w:rFonts w:hint="eastAsia" w:ascii="仿宋" w:hAnsi="仿宋" w:eastAsia="仿宋" w:cs="仿宋"/>
          <w:color w:val="000000" w:themeColor="text1"/>
          <w:highlight w:val="none"/>
          <w14:textFill>
            <w14:solidFill>
              <w14:schemeClr w14:val="tx1"/>
            </w14:solidFill>
          </w14:textFill>
        </w:rPr>
        <w:t>）为采购项目提供整体设计、规范编制或者项目管理、监理、检测等服务的供应商，再参加该采购项目的其他采购活动；</w:t>
      </w:r>
    </w:p>
    <w:p w14:paraId="478DC51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八</w:t>
      </w:r>
      <w:r>
        <w:rPr>
          <w:rFonts w:hint="eastAsia" w:ascii="仿宋" w:hAnsi="仿宋" w:eastAsia="仿宋" w:cs="仿宋"/>
          <w:color w:val="000000" w:themeColor="text1"/>
          <w:highlight w:val="none"/>
          <w14:textFill>
            <w14:solidFill>
              <w14:schemeClr w14:val="tx1"/>
            </w14:solidFill>
          </w14:textFill>
        </w:rPr>
        <w:t>）供应商的服务期、质量保证期及投标有效期不满足采购文件要求的；</w:t>
      </w:r>
    </w:p>
    <w:p w14:paraId="746302C3">
      <w:pPr>
        <w:pageBreakBefore w:val="0"/>
        <w:kinsoku/>
        <w:overflowPunct/>
        <w:topLinePunct w:val="0"/>
        <w:autoSpaceDE/>
        <w:autoSpaceDN/>
        <w:bidi w:val="0"/>
        <w:spacing w:line="240" w:lineRule="auto"/>
        <w:ind w:firstLine="48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九</w:t>
      </w:r>
      <w:r>
        <w:rPr>
          <w:rFonts w:hint="eastAsia" w:ascii="仿宋" w:hAnsi="仿宋" w:eastAsia="仿宋" w:cs="仿宋"/>
          <w:color w:val="000000" w:themeColor="text1"/>
          <w:highlight w:val="none"/>
          <w14:textFill>
            <w14:solidFill>
              <w14:schemeClr w14:val="tx1"/>
            </w14:solidFill>
          </w14:textFill>
        </w:rPr>
        <w:t>）供应商响应文件内容有与国家现行法律法规相违背的内容，或附有采购人无法接受的条件。</w:t>
      </w:r>
    </w:p>
    <w:p w14:paraId="17CBF324">
      <w:pPr>
        <w:pStyle w:val="5"/>
        <w:pageBreakBefore w:val="0"/>
        <w:kinsoku/>
        <w:overflowPunct/>
        <w:topLinePunct w:val="0"/>
        <w:autoSpaceDE/>
        <w:autoSpaceDN/>
        <w:bidi w:val="0"/>
        <w:spacing w:before="0" w:after="0" w:line="240" w:lineRule="auto"/>
        <w:ind w:firstLine="422"/>
        <w:jc w:val="both"/>
        <w:textAlignment w:val="auto"/>
        <w:rPr>
          <w:rFonts w:hint="eastAsia" w:eastAsia="宋体" w:cs="宋体"/>
          <w:color w:val="000000" w:themeColor="text1"/>
          <w:szCs w:val="28"/>
          <w:highlight w:val="none"/>
          <w14:textFill>
            <w14:solidFill>
              <w14:schemeClr w14:val="tx1"/>
            </w14:solidFill>
          </w14:textFill>
        </w:rPr>
      </w:pPr>
      <w:bookmarkStart w:id="23" w:name="_Toc474603958"/>
      <w:bookmarkStart w:id="24" w:name="_Toc499495121"/>
      <w:r>
        <w:rPr>
          <w:rFonts w:hint="eastAsia" w:ascii="仿宋" w:hAnsi="仿宋" w:eastAsia="仿宋" w:cs="仿宋"/>
          <w:color w:val="000000" w:themeColor="text1"/>
          <w:highlight w:val="none"/>
          <w14:textFill>
            <w14:solidFill>
              <w14:schemeClr w14:val="tx1"/>
            </w14:solidFill>
          </w14:textFill>
        </w:rPr>
        <w:br w:type="page"/>
      </w:r>
      <w:r>
        <w:rPr>
          <w:rFonts w:hint="eastAsia" w:eastAsia="宋体" w:cs="宋体"/>
          <w:color w:val="000000" w:themeColor="text1"/>
          <w:highlight w:val="none"/>
          <w14:textFill>
            <w14:solidFill>
              <w14:schemeClr w14:val="tx1"/>
            </w14:solidFill>
          </w14:textFill>
        </w:rPr>
        <w:t>十</w:t>
      </w:r>
      <w:r>
        <w:rPr>
          <w:rFonts w:hint="eastAsia" w:eastAsia="宋体" w:cs="宋体"/>
          <w:color w:val="000000" w:themeColor="text1"/>
          <w:highlight w:val="none"/>
          <w:lang w:val="en-US" w:eastAsia="zh-CN"/>
          <w14:textFill>
            <w14:solidFill>
              <w14:schemeClr w14:val="tx1"/>
            </w14:solidFill>
          </w14:textFill>
        </w:rPr>
        <w:t>二</w:t>
      </w:r>
      <w:r>
        <w:rPr>
          <w:rFonts w:hint="eastAsia" w:eastAsia="宋体" w:cs="宋体"/>
          <w:color w:val="000000" w:themeColor="text1"/>
          <w:highlight w:val="none"/>
          <w14:textFill>
            <w14:solidFill>
              <w14:schemeClr w14:val="tx1"/>
            </w14:solidFill>
          </w14:textFill>
        </w:rPr>
        <w:t>、</w:t>
      </w:r>
      <w:r>
        <w:rPr>
          <w:rFonts w:hint="eastAsia" w:eastAsia="宋体" w:cs="宋体"/>
          <w:color w:val="000000" w:themeColor="text1"/>
          <w:szCs w:val="28"/>
          <w:highlight w:val="none"/>
          <w14:textFill>
            <w14:solidFill>
              <w14:schemeClr w14:val="tx1"/>
            </w14:solidFill>
          </w14:textFill>
        </w:rPr>
        <w:t>供应商编制响应文件格式要求</w:t>
      </w:r>
    </w:p>
    <w:p w14:paraId="3E683568">
      <w:pPr>
        <w:pageBreakBefore w:val="0"/>
        <w:kinsoku/>
        <w:overflowPunct/>
        <w:topLinePunct w:val="0"/>
        <w:autoSpaceDE/>
        <w:autoSpaceDN/>
        <w:bidi w:val="0"/>
        <w:spacing w:line="240" w:lineRule="auto"/>
        <w:ind w:firstLine="562"/>
        <w:textAlignment w:val="auto"/>
        <w:rPr>
          <w:rFonts w:hint="eastAsia" w:ascii="宋体" w:hAnsi="宋体" w:eastAsia="宋体" w:cs="宋体"/>
          <w:b/>
          <w:bCs/>
          <w:color w:val="000000" w:themeColor="text1"/>
          <w:sz w:val="28"/>
          <w:szCs w:val="28"/>
          <w:highlight w:val="none"/>
          <w14:textFill>
            <w14:solidFill>
              <w14:schemeClr w14:val="tx1"/>
            </w14:solidFill>
          </w14:textFill>
        </w:rPr>
      </w:pPr>
    </w:p>
    <w:p w14:paraId="2E474A09">
      <w:pPr>
        <w:pageBreakBefore w:val="0"/>
        <w:kinsoku/>
        <w:overflowPunct/>
        <w:topLinePunct w:val="0"/>
        <w:autoSpaceDE/>
        <w:autoSpaceDN/>
        <w:bidi w:val="0"/>
        <w:spacing w:line="240" w:lineRule="auto"/>
        <w:ind w:firstLine="562"/>
        <w:textAlignment w:val="auto"/>
        <w:rPr>
          <w:rFonts w:hint="eastAsia" w:ascii="宋体" w:hAnsi="宋体" w:eastAsia="宋体" w:cs="宋体"/>
          <w:b/>
          <w:bCs/>
          <w:color w:val="000000" w:themeColor="text1"/>
          <w:sz w:val="28"/>
          <w:szCs w:val="28"/>
          <w:highlight w:val="none"/>
          <w14:textFill>
            <w14:solidFill>
              <w14:schemeClr w14:val="tx1"/>
            </w14:solidFill>
          </w14:textFill>
        </w:rPr>
      </w:pPr>
    </w:p>
    <w:p w14:paraId="5266468D">
      <w:pPr>
        <w:pageBreakBefore w:val="0"/>
        <w:kinsoku/>
        <w:overflowPunct/>
        <w:topLinePunct w:val="0"/>
        <w:autoSpaceDE/>
        <w:autoSpaceDN/>
        <w:bidi w:val="0"/>
        <w:spacing w:line="240" w:lineRule="auto"/>
        <w:ind w:left="480" w:leftChars="200" w:firstLine="562"/>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项目名称：</w:t>
      </w:r>
    </w:p>
    <w:p w14:paraId="681C1689">
      <w:pPr>
        <w:pageBreakBefore w:val="0"/>
        <w:kinsoku/>
        <w:overflowPunct/>
        <w:topLinePunct w:val="0"/>
        <w:autoSpaceDE/>
        <w:autoSpaceDN/>
        <w:bidi w:val="0"/>
        <w:spacing w:line="240" w:lineRule="auto"/>
        <w:ind w:left="480" w:leftChars="200" w:firstLine="562"/>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项目编号：</w:t>
      </w:r>
    </w:p>
    <w:p w14:paraId="5AA5FCE4">
      <w:pPr>
        <w:pageBreakBefore w:val="0"/>
        <w:kinsoku/>
        <w:overflowPunct/>
        <w:topLinePunct w:val="0"/>
        <w:autoSpaceDE/>
        <w:autoSpaceDN/>
        <w:bidi w:val="0"/>
        <w:spacing w:line="240" w:lineRule="auto"/>
        <w:ind w:firstLine="480"/>
        <w:textAlignment w:val="auto"/>
        <w:rPr>
          <w:rFonts w:hint="eastAsia" w:ascii="宋体" w:hAnsi="宋体" w:eastAsia="宋体" w:cs="宋体"/>
          <w:color w:val="000000" w:themeColor="text1"/>
          <w:highlight w:val="none"/>
          <w14:textFill>
            <w14:solidFill>
              <w14:schemeClr w14:val="tx1"/>
            </w14:solidFill>
          </w14:textFill>
        </w:rPr>
      </w:pPr>
    </w:p>
    <w:p w14:paraId="7AB6C03F">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b/>
          <w:bCs/>
          <w:color w:val="000000" w:themeColor="text1"/>
          <w:sz w:val="48"/>
          <w:szCs w:val="48"/>
          <w:highlight w:val="none"/>
          <w14:textFill>
            <w14:solidFill>
              <w14:schemeClr w14:val="tx1"/>
            </w14:solidFill>
          </w14:textFill>
        </w:rPr>
      </w:pPr>
      <w:r>
        <w:rPr>
          <w:rFonts w:hint="eastAsia" w:ascii="宋体" w:hAnsi="宋体" w:eastAsia="宋体" w:cs="宋体"/>
          <w:b/>
          <w:bCs/>
          <w:color w:val="000000" w:themeColor="text1"/>
          <w:sz w:val="48"/>
          <w:szCs w:val="48"/>
          <w:highlight w:val="none"/>
          <w14:textFill>
            <w14:solidFill>
              <w14:schemeClr w14:val="tx1"/>
            </w14:solidFill>
          </w14:textFill>
        </w:rPr>
        <w:t>（正/副本）</w:t>
      </w:r>
    </w:p>
    <w:p w14:paraId="0D104C91">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000000" w:themeColor="text1"/>
          <w:sz w:val="96"/>
          <w:szCs w:val="96"/>
          <w:highlight w:val="none"/>
          <w14:textFill>
            <w14:solidFill>
              <w14:schemeClr w14:val="tx1"/>
            </w14:solidFill>
          </w14:textFill>
        </w:rPr>
      </w:pPr>
    </w:p>
    <w:p w14:paraId="27EA4675">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000000" w:themeColor="text1"/>
          <w:sz w:val="96"/>
          <w:szCs w:val="96"/>
          <w:highlight w:val="none"/>
          <w:lang w:eastAsia="zh-CN"/>
          <w14:textFill>
            <w14:solidFill>
              <w14:schemeClr w14:val="tx1"/>
            </w14:solidFill>
          </w14:textFill>
        </w:rPr>
      </w:pPr>
      <w:r>
        <w:rPr>
          <w:rFonts w:hint="eastAsia" w:ascii="宋体" w:hAnsi="宋体" w:eastAsia="宋体" w:cs="宋体"/>
          <w:color w:val="000000" w:themeColor="text1"/>
          <w:sz w:val="96"/>
          <w:szCs w:val="96"/>
          <w:highlight w:val="none"/>
          <w:lang w:eastAsia="zh-CN"/>
          <w14:textFill>
            <w14:solidFill>
              <w14:schemeClr w14:val="tx1"/>
            </w14:solidFill>
          </w14:textFill>
        </w:rPr>
        <w:t>响</w:t>
      </w:r>
    </w:p>
    <w:p w14:paraId="2BCD412B">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000000" w:themeColor="text1"/>
          <w:sz w:val="96"/>
          <w:szCs w:val="96"/>
          <w:highlight w:val="none"/>
          <w:lang w:eastAsia="zh-CN"/>
          <w14:textFill>
            <w14:solidFill>
              <w14:schemeClr w14:val="tx1"/>
            </w14:solidFill>
          </w14:textFill>
        </w:rPr>
      </w:pPr>
      <w:r>
        <w:rPr>
          <w:rFonts w:hint="eastAsia" w:ascii="宋体" w:hAnsi="宋体" w:eastAsia="宋体" w:cs="宋体"/>
          <w:color w:val="000000" w:themeColor="text1"/>
          <w:sz w:val="96"/>
          <w:szCs w:val="96"/>
          <w:highlight w:val="none"/>
          <w:lang w:eastAsia="zh-CN"/>
          <w14:textFill>
            <w14:solidFill>
              <w14:schemeClr w14:val="tx1"/>
            </w14:solidFill>
          </w14:textFill>
        </w:rPr>
        <w:t>应</w:t>
      </w:r>
    </w:p>
    <w:p w14:paraId="558E6422">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000000" w:themeColor="text1"/>
          <w:sz w:val="96"/>
          <w:szCs w:val="96"/>
          <w:highlight w:val="none"/>
          <w14:textFill>
            <w14:solidFill>
              <w14:schemeClr w14:val="tx1"/>
            </w14:solidFill>
          </w14:textFill>
        </w:rPr>
      </w:pPr>
      <w:r>
        <w:rPr>
          <w:rFonts w:hint="eastAsia" w:ascii="宋体" w:hAnsi="宋体" w:eastAsia="宋体" w:cs="宋体"/>
          <w:color w:val="000000" w:themeColor="text1"/>
          <w:sz w:val="96"/>
          <w:szCs w:val="96"/>
          <w:highlight w:val="none"/>
          <w14:textFill>
            <w14:solidFill>
              <w14:schemeClr w14:val="tx1"/>
            </w14:solidFill>
          </w14:textFill>
        </w:rPr>
        <w:t>文</w:t>
      </w:r>
    </w:p>
    <w:p w14:paraId="3954C2E7">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000000" w:themeColor="text1"/>
          <w:sz w:val="96"/>
          <w:szCs w:val="96"/>
          <w:highlight w:val="none"/>
          <w14:textFill>
            <w14:solidFill>
              <w14:schemeClr w14:val="tx1"/>
            </w14:solidFill>
          </w14:textFill>
        </w:rPr>
      </w:pPr>
      <w:r>
        <w:rPr>
          <w:rFonts w:hint="eastAsia" w:ascii="宋体" w:hAnsi="宋体" w:eastAsia="宋体" w:cs="宋体"/>
          <w:color w:val="000000" w:themeColor="text1"/>
          <w:sz w:val="96"/>
          <w:szCs w:val="96"/>
          <w:highlight w:val="none"/>
          <w14:textFill>
            <w14:solidFill>
              <w14:schemeClr w14:val="tx1"/>
            </w14:solidFill>
          </w14:textFill>
        </w:rPr>
        <w:t>件</w:t>
      </w:r>
    </w:p>
    <w:p w14:paraId="430E9637">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000000" w:themeColor="text1"/>
          <w:sz w:val="28"/>
          <w:szCs w:val="28"/>
          <w:highlight w:val="none"/>
          <w14:textFill>
            <w14:solidFill>
              <w14:schemeClr w14:val="tx1"/>
            </w14:solidFill>
          </w14:textFill>
        </w:rPr>
      </w:pPr>
    </w:p>
    <w:p w14:paraId="34F22837">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000000" w:themeColor="text1"/>
          <w:sz w:val="28"/>
          <w:szCs w:val="28"/>
          <w:highlight w:val="none"/>
          <w14:textFill>
            <w14:solidFill>
              <w14:schemeClr w14:val="tx1"/>
            </w14:solidFill>
          </w14:textFill>
        </w:rPr>
      </w:pPr>
    </w:p>
    <w:p w14:paraId="26B90C45">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投标人名称：</w:t>
      </w:r>
    </w:p>
    <w:p w14:paraId="340819CF">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投标人地址：</w:t>
      </w:r>
    </w:p>
    <w:p w14:paraId="1C4321B9">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color w:val="000000" w:themeColor="text1"/>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投标日期：</w:t>
      </w:r>
    </w:p>
    <w:p w14:paraId="43A9D7FA">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912BD1B">
      <w:pPr>
        <w:pStyle w:val="17"/>
        <w:pageBreakBefore w:val="0"/>
        <w:kinsoku/>
        <w:overflowPunct/>
        <w:topLinePunct w:val="0"/>
        <w:autoSpaceDE/>
        <w:autoSpaceDN/>
        <w:bidi w:val="0"/>
        <w:spacing w:after="0"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6E9AFD68">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70A37BE3">
      <w:pPr>
        <w:pStyle w:val="17"/>
        <w:pageBreakBefore w:val="0"/>
        <w:kinsoku/>
        <w:overflowPunct/>
        <w:topLinePunct w:val="0"/>
        <w:autoSpaceDE/>
        <w:autoSpaceDN/>
        <w:bidi w:val="0"/>
        <w:spacing w:after="0"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77C43303">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3709AD74">
      <w:pPr>
        <w:pStyle w:val="17"/>
        <w:pageBreakBefore w:val="0"/>
        <w:kinsoku/>
        <w:overflowPunct/>
        <w:topLinePunct w:val="0"/>
        <w:autoSpaceDE/>
        <w:autoSpaceDN/>
        <w:bidi w:val="0"/>
        <w:spacing w:after="0" w:line="240" w:lineRule="auto"/>
        <w:ind w:firstLine="480"/>
        <w:textAlignment w:val="auto"/>
        <w:rPr>
          <w:rFonts w:hint="eastAsia"/>
          <w:color w:val="000000" w:themeColor="text1"/>
          <w:highlight w:val="none"/>
          <w14:textFill>
            <w14:solidFill>
              <w14:schemeClr w14:val="tx1"/>
            </w14:solidFill>
          </w14:textFill>
        </w:rPr>
      </w:pPr>
    </w:p>
    <w:bookmarkEnd w:id="23"/>
    <w:bookmarkEnd w:id="24"/>
    <w:p w14:paraId="35FA29A3">
      <w:pPr>
        <w:rPr>
          <w:rFonts w:hint="eastAsia" w:ascii="仿宋" w:hAnsi="仿宋" w:eastAsia="仿宋" w:cs="仿宋"/>
          <w:b/>
          <w:color w:val="000000" w:themeColor="text1"/>
          <w:highlight w:val="none"/>
          <w14:textFill>
            <w14:solidFill>
              <w14:schemeClr w14:val="tx1"/>
            </w14:solidFill>
          </w14:textFill>
        </w:rPr>
      </w:pPr>
      <w:bookmarkStart w:id="25" w:name="_Toc17074"/>
      <w:r>
        <w:rPr>
          <w:rFonts w:hint="eastAsia" w:ascii="仿宋" w:hAnsi="仿宋" w:eastAsia="仿宋" w:cs="仿宋"/>
          <w:b/>
          <w:color w:val="000000" w:themeColor="text1"/>
          <w:highlight w:val="none"/>
          <w14:textFill>
            <w14:solidFill>
              <w14:schemeClr w14:val="tx1"/>
            </w14:solidFill>
          </w14:textFill>
        </w:rPr>
        <w:br w:type="page"/>
      </w:r>
    </w:p>
    <w:p w14:paraId="3F6C14A9">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一、报价</w:t>
      </w:r>
    </w:p>
    <w:p w14:paraId="3B56C70F">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bCs/>
          <w:color w:val="000000" w:themeColor="text1"/>
          <w:highlight w:val="none"/>
          <w14:textFill>
            <w14:solidFill>
              <w14:schemeClr w14:val="tx1"/>
            </w14:solidFill>
          </w14:textFill>
        </w:rPr>
      </w:pPr>
      <w:r>
        <w:rPr>
          <w:rFonts w:hint="eastAsia" w:ascii="仿宋" w:hAnsi="仿宋" w:eastAsia="仿宋" w:cs="仿宋"/>
          <w:bCs/>
          <w:color w:val="000000" w:themeColor="text1"/>
          <w:highlight w:val="none"/>
          <w14:textFill>
            <w14:solidFill>
              <w14:schemeClr w14:val="tx1"/>
            </w14:solidFill>
          </w14:textFill>
        </w:rPr>
        <w:t>（一）报价函</w:t>
      </w:r>
    </w:p>
    <w:p w14:paraId="345AC3D9">
      <w:pPr>
        <w:pageBreakBefore w:val="0"/>
        <w:tabs>
          <w:tab w:val="left" w:pos="6300"/>
        </w:tabs>
        <w:kinsoku/>
        <w:overflowPunct/>
        <w:topLinePunct w:val="0"/>
        <w:autoSpaceDE/>
        <w:autoSpaceDN/>
        <w:bidi w:val="0"/>
        <w:snapToGrid w:val="0"/>
        <w:spacing w:line="240" w:lineRule="auto"/>
        <w:ind w:firstLine="482"/>
        <w:jc w:val="center"/>
        <w:textAlignment w:val="auto"/>
        <w:outlineLvl w:val="0"/>
        <w:rPr>
          <w:rFonts w:hint="eastAsia" w:ascii="仿宋" w:hAnsi="仿宋" w:eastAsia="仿宋" w:cs="仿宋"/>
          <w:b/>
          <w:color w:val="000000" w:themeColor="text1"/>
          <w:szCs w:val="28"/>
          <w:highlight w:val="none"/>
          <w14:textFill>
            <w14:solidFill>
              <w14:schemeClr w14:val="tx1"/>
            </w14:solidFill>
          </w14:textFill>
        </w:rPr>
      </w:pPr>
      <w:r>
        <w:rPr>
          <w:rFonts w:hint="eastAsia" w:ascii="仿宋" w:hAnsi="仿宋" w:eastAsia="仿宋" w:cs="仿宋"/>
          <w:b/>
          <w:color w:val="000000" w:themeColor="text1"/>
          <w:szCs w:val="28"/>
          <w:highlight w:val="none"/>
          <w14:textFill>
            <w14:solidFill>
              <w14:schemeClr w14:val="tx1"/>
            </w14:solidFill>
          </w14:textFill>
        </w:rPr>
        <w:t>报价函</w:t>
      </w:r>
    </w:p>
    <w:p w14:paraId="467298F1">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_________________（采购人名称）：</w:t>
      </w:r>
    </w:p>
    <w:p w14:paraId="72C0F2C8">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我方收到____________________________（项目名称）的询比采购文件，经详细研究，决定参加该项目的询比。</w:t>
      </w:r>
    </w:p>
    <w:p w14:paraId="4B1B7AC7">
      <w:pPr>
        <w:pageBreakBefore w:val="0"/>
        <w:tabs>
          <w:tab w:val="left" w:pos="6300"/>
        </w:tabs>
        <w:kinsoku/>
        <w:overflowPunct/>
        <w:topLinePunct w:val="0"/>
        <w:autoSpaceDE/>
        <w:autoSpaceDN/>
        <w:bidi w:val="0"/>
        <w:snapToGrid w:val="0"/>
        <w:spacing w:line="240" w:lineRule="auto"/>
        <w:textAlignment w:val="auto"/>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愿意按照谈判采购文件中的一切要求，提供本项目的技术服务，报价</w:t>
      </w:r>
      <w:r>
        <w:rPr>
          <w:rFonts w:hint="eastAsia" w:ascii="仿宋" w:hAnsi="仿宋" w:eastAsia="仿宋" w:cs="仿宋"/>
          <w:color w:val="000000" w:themeColor="text1"/>
          <w:highlight w:val="none"/>
          <w:lang w:val="en-US" w:eastAsia="zh-CN"/>
          <w14:textFill>
            <w14:solidFill>
              <w14:schemeClr w14:val="tx1"/>
            </w14:solidFill>
          </w14:textFill>
        </w:rPr>
        <w:t>折扣率为：</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w:t>
      </w:r>
    </w:p>
    <w:p w14:paraId="42818650">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2、我方现提交的响应文件为：响应文件正本</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份，副本</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份。</w:t>
      </w:r>
    </w:p>
    <w:p w14:paraId="7B1143A3">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3、我方承诺：本次谈判的有效期为90天。</w:t>
      </w:r>
    </w:p>
    <w:p w14:paraId="547BBA88">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4、我方完全理解和接受贵方谈判采购文件的一切规定和要求及评审办法。</w:t>
      </w:r>
    </w:p>
    <w:p w14:paraId="3CDCF165">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5、在整个谈判采购过程中，我方若有违规行为，接受相关处罚。</w:t>
      </w:r>
    </w:p>
    <w:p w14:paraId="2A7B0456">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6、我方若中选，将按照谈判结果签订合同，并且严格履行合同义务。本承诺函将成为合同不可分割的一部分，与合同具有同等的法律效力。</w:t>
      </w:r>
    </w:p>
    <w:p w14:paraId="060EEDD6">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w:t>
      </w:r>
      <w:r>
        <w:rPr>
          <w:rFonts w:hint="eastAsia" w:ascii="仿宋" w:hAnsi="仿宋" w:eastAsia="仿宋" w:cs="仿宋"/>
          <w:color w:val="000000" w:themeColor="text1"/>
          <w:szCs w:val="28"/>
          <w:highlight w:val="none"/>
          <w14:textFill>
            <w14:solidFill>
              <w14:schemeClr w14:val="tx1"/>
            </w14:solidFill>
          </w14:textFill>
        </w:rPr>
        <w:t>我方理解，最低报价不是成交的唯一条件。</w:t>
      </w:r>
    </w:p>
    <w:p w14:paraId="1C16A771">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4C7726BD">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41471D02">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7E16BE0D">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39979013">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供应商名称（公章）：</w:t>
      </w:r>
    </w:p>
    <w:p w14:paraId="677A22E8">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sectPr>
          <w:footerReference r:id="rId5" w:type="default"/>
          <w:pgSz w:w="11907" w:h="16840"/>
          <w:pgMar w:top="1134" w:right="1191" w:bottom="1134" w:left="1304" w:header="851" w:footer="992" w:gutter="0"/>
          <w:pgNumType w:start="1"/>
          <w:cols w:space="720" w:num="1"/>
          <w:docGrid w:linePitch="380" w:charSpace="-5735"/>
        </w:sectPr>
      </w:pPr>
      <w:r>
        <w:rPr>
          <w:rFonts w:hint="eastAsia" w:ascii="仿宋" w:hAnsi="仿宋" w:eastAsia="仿宋" w:cs="仿宋"/>
          <w:color w:val="000000" w:themeColor="text1"/>
          <w:highlight w:val="none"/>
          <w14:textFill>
            <w14:solidFill>
              <w14:schemeClr w14:val="tx1"/>
            </w14:solidFill>
          </w14:textFill>
        </w:rPr>
        <w:t xml:space="preserve">                                             年   月   日</w:t>
      </w:r>
    </w:p>
    <w:p w14:paraId="2805F904">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二、资格条件及其他</w:t>
      </w:r>
    </w:p>
    <w:p w14:paraId="3C24C092">
      <w:pPr>
        <w:pageBreakBefore w:val="0"/>
        <w:widowControl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按照采购文件要求提供复印件加盖投标人公章</w:t>
      </w:r>
    </w:p>
    <w:p w14:paraId="4E7494A3">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r>
        <w:rPr>
          <w:rFonts w:hint="eastAsia" w:ascii="仿宋" w:hAnsi="仿宋" w:eastAsia="仿宋" w:cs="仿宋"/>
          <w:b/>
          <w:color w:val="000000" w:themeColor="text1"/>
          <w:highlight w:val="none"/>
          <w14:textFill>
            <w14:solidFill>
              <w14:schemeClr w14:val="tx1"/>
            </w14:solidFill>
          </w14:textFill>
        </w:rPr>
        <w:t>三、法定代表人身份证明书</w:t>
      </w:r>
    </w:p>
    <w:p w14:paraId="049C6D1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1BFEAF3">
      <w:pPr>
        <w:pageBreakBefore w:val="0"/>
        <w:widowControl w:val="0"/>
        <w:tabs>
          <w:tab w:val="left" w:pos="6300"/>
        </w:tabs>
        <w:kinsoku/>
        <w:overflowPunct/>
        <w:topLinePunct w:val="0"/>
        <w:autoSpaceDE/>
        <w:autoSpaceDN/>
        <w:bidi w:val="0"/>
        <w:snapToGrid w:val="0"/>
        <w:spacing w:line="240" w:lineRule="auto"/>
        <w:ind w:firstLine="480" w:firstLineChars="0"/>
        <w:jc w:val="center"/>
        <w:textAlignment w:val="auto"/>
        <w:rPr>
          <w:rFonts w:hint="eastAsia" w:ascii="仿宋" w:hAnsi="仿宋" w:eastAsia="仿宋" w:cs="仿宋"/>
          <w:color w:val="000000" w:themeColor="text1"/>
          <w:sz w:val="28"/>
          <w:szCs w:val="20"/>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法定代表人身份证明书</w:t>
      </w:r>
    </w:p>
    <w:p w14:paraId="03722E58">
      <w:pPr>
        <w:pageBreakBefore w:val="0"/>
        <w:widowControl w:val="0"/>
        <w:tabs>
          <w:tab w:val="left" w:pos="6300"/>
        </w:tabs>
        <w:kinsoku/>
        <w:overflowPunct/>
        <w:topLinePunct w:val="0"/>
        <w:autoSpaceDE/>
        <w:autoSpaceDN/>
        <w:bidi w:val="0"/>
        <w:snapToGrid w:val="0"/>
        <w:spacing w:line="240" w:lineRule="auto"/>
        <w:ind w:firstLine="480"/>
        <w:jc w:val="both"/>
        <w:textAlignment w:val="auto"/>
        <w:rPr>
          <w:rFonts w:hint="eastAsia" w:ascii="仿宋" w:hAnsi="仿宋" w:eastAsia="仿宋" w:cs="仿宋"/>
          <w:color w:val="000000" w:themeColor="text1"/>
          <w:highlight w:val="none"/>
          <w14:textFill>
            <w14:solidFill>
              <w14:schemeClr w14:val="tx1"/>
            </w14:solidFill>
          </w14:textFill>
        </w:rPr>
      </w:pPr>
    </w:p>
    <w:p w14:paraId="105BBA26">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采购项目名称：</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 xml:space="preserve">                                               </w:t>
      </w:r>
    </w:p>
    <w:p w14:paraId="358235A4">
      <w:pPr>
        <w:pStyle w:val="25"/>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2A7CE4CF">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致：_________________（采购人名称）：</w:t>
      </w:r>
    </w:p>
    <w:p w14:paraId="37EF678A">
      <w:pPr>
        <w:pStyle w:val="25"/>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（法定代表人姓名）在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（供应商名称）任</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（职务名称）职务，是（供应商名称）</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 xml:space="preserve"> 的法定代表人。</w:t>
      </w:r>
    </w:p>
    <w:p w14:paraId="3B5EBC8F">
      <w:pPr>
        <w:pStyle w:val="25"/>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73C341D">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特此证明。</w:t>
      </w:r>
    </w:p>
    <w:p w14:paraId="28B08C0E">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3E431D0">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F9B2C9F">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221EFA7">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（供应商公章）</w:t>
      </w:r>
    </w:p>
    <w:p w14:paraId="05A9DC6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86D94D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年   月   日</w:t>
      </w:r>
    </w:p>
    <w:p w14:paraId="751D8EC2">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22C1893B">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（附：法定代表人身份证正反面复印件）</w:t>
      </w:r>
    </w:p>
    <w:p w14:paraId="575E606D">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br w:type="page"/>
      </w:r>
      <w:r>
        <w:rPr>
          <w:rFonts w:hint="eastAsia" w:ascii="仿宋" w:hAnsi="仿宋" w:eastAsia="仿宋" w:cs="仿宋"/>
          <w:b/>
          <w:color w:val="000000" w:themeColor="text1"/>
          <w:highlight w:val="none"/>
          <w14:textFill>
            <w14:solidFill>
              <w14:schemeClr w14:val="tx1"/>
            </w14:solidFill>
          </w14:textFill>
        </w:rPr>
        <w:t>四、法定代表人授权委托书</w:t>
      </w:r>
    </w:p>
    <w:p w14:paraId="3AFB6675">
      <w:pPr>
        <w:pageBreakBefore w:val="0"/>
        <w:widowControl w:val="0"/>
        <w:tabs>
          <w:tab w:val="left" w:pos="6300"/>
        </w:tabs>
        <w:kinsoku/>
        <w:overflowPunct/>
        <w:topLinePunct w:val="0"/>
        <w:autoSpaceDE/>
        <w:autoSpaceDN/>
        <w:bidi w:val="0"/>
        <w:snapToGrid w:val="0"/>
        <w:spacing w:line="240" w:lineRule="auto"/>
        <w:ind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6CC76023">
      <w:pPr>
        <w:pStyle w:val="6"/>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法定代表人授权委托书</w:t>
      </w:r>
    </w:p>
    <w:p w14:paraId="48E358F4">
      <w:pPr>
        <w:pageBreakBefore w:val="0"/>
        <w:kinsoku/>
        <w:overflowPunct/>
        <w:topLinePunct w:val="0"/>
        <w:autoSpaceDE/>
        <w:autoSpaceDN/>
        <w:bidi w:val="0"/>
        <w:snapToGrid w:val="0"/>
        <w:spacing w:line="240" w:lineRule="auto"/>
        <w:ind w:firstLine="600"/>
        <w:textAlignment w:val="auto"/>
        <w:rPr>
          <w:rFonts w:hint="eastAsia" w:ascii="仿宋" w:hAnsi="仿宋" w:eastAsia="仿宋" w:cs="仿宋"/>
          <w:color w:val="000000" w:themeColor="text1"/>
          <w:sz w:val="30"/>
          <w:szCs w:val="30"/>
          <w:highlight w:val="none"/>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 xml:space="preserve">    </w:t>
      </w:r>
    </w:p>
    <w:p w14:paraId="5238F86B">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采购项目名称：</w:t>
      </w:r>
      <w:r>
        <w:rPr>
          <w:rFonts w:hint="eastAsia" w:ascii="仿宋" w:hAnsi="仿宋" w:eastAsia="仿宋" w:cs="仿宋"/>
          <w:color w:val="000000" w:themeColor="text1"/>
          <w:highlight w:val="none"/>
          <w:u w:val="single"/>
          <w14:textFill>
            <w14:solidFill>
              <w14:schemeClr w14:val="tx1"/>
            </w14:solidFill>
          </w14:textFill>
        </w:rPr>
        <w:t xml:space="preserve">                                         </w:t>
      </w:r>
    </w:p>
    <w:p w14:paraId="08AE5FB9">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6B60713E">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致：_________________（采购人名称）：</w:t>
      </w:r>
    </w:p>
    <w:p w14:paraId="14613779">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（投标人法定代表人名称）是</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（投标人名称）的法定代表人，特授权</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（被授权人姓名及身份证代码）电话</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代表我单位全权办理上述项目的投标、谈判、签约等具体工作，并签署全部有关文件、协议及合同。</w:t>
      </w:r>
    </w:p>
    <w:p w14:paraId="0D2934D9">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我单位对被授权人的签名负全部责任。</w:t>
      </w:r>
    </w:p>
    <w:p w14:paraId="6972D809">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在撤销授权的书面通知以前，本授权书一直有效。被授权人在授权书有效期内签署的所有文件不因授权的撤销而失效。</w:t>
      </w:r>
    </w:p>
    <w:p w14:paraId="537BCF3B">
      <w:pPr>
        <w:pStyle w:val="26"/>
        <w:pageBreakBefore w:val="0"/>
        <w:kinsoku/>
        <w:overflowPunct/>
        <w:topLinePunct w:val="0"/>
        <w:autoSpaceDE/>
        <w:autoSpaceDN/>
        <w:bidi w:val="0"/>
        <w:spacing w:line="240" w:lineRule="auto"/>
        <w:ind w:left="480" w:hanging="480"/>
        <w:textAlignment w:val="auto"/>
        <w:rPr>
          <w:rFonts w:hint="eastAsia" w:ascii="仿宋" w:hAnsi="仿宋" w:eastAsia="仿宋" w:cs="仿宋"/>
          <w:color w:val="000000" w:themeColor="text1"/>
          <w:highlight w:val="none"/>
          <w14:textFill>
            <w14:solidFill>
              <w14:schemeClr w14:val="tx1"/>
            </w14:solidFill>
          </w14:textFill>
        </w:rPr>
      </w:pPr>
    </w:p>
    <w:p w14:paraId="730478BF">
      <w:pPr>
        <w:pStyle w:val="26"/>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被授权人：                                 投标人法定代表人：</w:t>
      </w:r>
    </w:p>
    <w:p w14:paraId="1A1613DF">
      <w:pPr>
        <w:pStyle w:val="26"/>
        <w:pageBreakBefore w:val="0"/>
        <w:kinsoku/>
        <w:overflowPunct/>
        <w:topLinePunct w:val="0"/>
        <w:autoSpaceDE/>
        <w:autoSpaceDN/>
        <w:bidi w:val="0"/>
        <w:spacing w:line="240" w:lineRule="auto"/>
        <w:ind w:left="480" w:hanging="480"/>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 xml:space="preserve">     （签字或盖章）                                （签字或盖章）</w:t>
      </w:r>
    </w:p>
    <w:p w14:paraId="1812721D">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2DF27071">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（附：被授权人身份证正反面复印件）</w:t>
      </w:r>
    </w:p>
    <w:p w14:paraId="6AB7D787">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9100C7B">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FFE2803">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544A9023">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w:t>
      </w:r>
    </w:p>
    <w:p w14:paraId="2A22B1A7">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6C23A4D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0E20CBE">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4610E44E">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AEED4DC">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A9DFCB9">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29CEC56E">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1B455FB2">
      <w:pPr>
        <w:pageBreakBefore w:val="0"/>
        <w:kinsoku/>
        <w:overflowPunct/>
        <w:topLinePunct w:val="0"/>
        <w:autoSpaceDE/>
        <w:autoSpaceDN/>
        <w:bidi w:val="0"/>
        <w:spacing w:line="240" w:lineRule="auto"/>
        <w:ind w:firstLine="6120" w:firstLineChars="255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（投标人公章）</w:t>
      </w:r>
    </w:p>
    <w:p w14:paraId="1BA32FAE">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年   月   日</w:t>
      </w:r>
    </w:p>
    <w:p w14:paraId="0B746368">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w:t>
      </w:r>
    </w:p>
    <w:p w14:paraId="2D0738A1">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000000" w:themeColor="text1"/>
          <w:highlight w:val="none"/>
          <w14:textFill>
            <w14:solidFill>
              <w14:schemeClr w14:val="tx1"/>
            </w14:solidFill>
          </w14:textFill>
        </w:rPr>
      </w:pPr>
    </w:p>
    <w:p w14:paraId="6E1A5070">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000000" w:themeColor="text1"/>
          <w:highlight w:val="none"/>
          <w14:textFill>
            <w14:solidFill>
              <w14:schemeClr w14:val="tx1"/>
            </w14:solidFill>
          </w14:textFill>
        </w:rPr>
      </w:pPr>
    </w:p>
    <w:p w14:paraId="5C5A6AE1">
      <w:pPr>
        <w:pageBreakBefore w:val="0"/>
        <w:kinsoku/>
        <w:overflowPunct/>
        <w:topLinePunct w:val="0"/>
        <w:autoSpaceDE/>
        <w:autoSpaceDN/>
        <w:bidi w:val="0"/>
        <w:spacing w:line="240" w:lineRule="auto"/>
        <w:ind w:firstLine="0" w:firstLineChars="0"/>
        <w:textAlignment w:val="auto"/>
        <w:rPr>
          <w:rFonts w:ascii="Times New Roman" w:hAnsi="Times New Roman" w:eastAsia="方正仿宋_GBK"/>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bookmarkStart w:id="26" w:name="_Toc16943"/>
      <w:r>
        <w:rPr>
          <w:rFonts w:hint="eastAsia" w:ascii="仿宋" w:hAnsi="仿宋" w:eastAsia="仿宋" w:cs="仿宋"/>
          <w:b/>
          <w:color w:val="000000" w:themeColor="text1"/>
          <w:highlight w:val="none"/>
          <w14:textFill>
            <w14:solidFill>
              <w14:schemeClr w14:val="tx1"/>
            </w14:solidFill>
          </w14:textFill>
        </w:rPr>
        <w:t xml:space="preserve"> </w:t>
      </w:r>
      <w:r>
        <w:rPr>
          <w:rFonts w:hint="eastAsia" w:ascii="仿宋" w:hAnsi="仿宋" w:eastAsia="仿宋" w:cs="仿宋"/>
          <w:b/>
          <w:color w:val="000000" w:themeColor="text1"/>
          <w:highlight w:val="none"/>
          <w:lang w:eastAsia="zh-CN"/>
          <w14:textFill>
            <w14:solidFill>
              <w14:schemeClr w14:val="tx1"/>
            </w14:solidFill>
          </w14:textFill>
        </w:rPr>
        <w:t>五、</w:t>
      </w:r>
      <w:r>
        <w:rPr>
          <w:rFonts w:hint="eastAsia" w:ascii="仿宋" w:hAnsi="仿宋" w:eastAsia="仿宋" w:cs="仿宋"/>
          <w:b/>
          <w:color w:val="000000" w:themeColor="text1"/>
          <w:highlight w:val="none"/>
          <w14:textFill>
            <w14:solidFill>
              <w14:schemeClr w14:val="tx1"/>
            </w14:solidFill>
          </w14:textFill>
        </w:rPr>
        <w:t>基本资格条件承诺函</w:t>
      </w:r>
    </w:p>
    <w:p w14:paraId="1A5F696D">
      <w:pPr>
        <w:tabs>
          <w:tab w:val="left" w:pos="6300"/>
        </w:tabs>
        <w:snapToGrid w:val="0"/>
        <w:spacing w:line="312" w:lineRule="auto"/>
        <w:ind w:firstLine="560" w:firstLineChars="200"/>
        <w:jc w:val="center"/>
        <w:rPr>
          <w:rFonts w:ascii="Times New Roman" w:hAnsi="Times New Roman" w:eastAsia="方正仿宋_GBK"/>
          <w:color w:val="000000" w:themeColor="text1"/>
          <w:sz w:val="28"/>
          <w:szCs w:val="28"/>
          <w:highlight w:val="none"/>
          <w14:textFill>
            <w14:solidFill>
              <w14:schemeClr w14:val="tx1"/>
            </w14:solidFill>
          </w14:textFill>
        </w:rPr>
      </w:pPr>
    </w:p>
    <w:p w14:paraId="03C24363">
      <w:pPr>
        <w:tabs>
          <w:tab w:val="left" w:pos="6300"/>
        </w:tabs>
        <w:snapToGrid w:val="0"/>
        <w:spacing w:line="312" w:lineRule="auto"/>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基本资格条件承诺函</w:t>
      </w:r>
    </w:p>
    <w:p w14:paraId="35683A90">
      <w:pPr>
        <w:tabs>
          <w:tab w:val="left" w:pos="6300"/>
        </w:tabs>
        <w:snapToGrid w:val="0"/>
        <w:spacing w:line="312" w:lineRule="auto"/>
        <w:rPr>
          <w:rFonts w:hint="eastAsia" w:ascii="仿宋" w:hAnsi="仿宋" w:eastAsia="仿宋" w:cs="仿宋"/>
          <w:color w:val="000000" w:themeColor="text1"/>
          <w:sz w:val="24"/>
          <w:szCs w:val="24"/>
          <w:highlight w:val="none"/>
          <w14:textFill>
            <w14:solidFill>
              <w14:schemeClr w14:val="tx1"/>
            </w14:solidFill>
          </w14:textFill>
        </w:rPr>
      </w:pPr>
    </w:p>
    <w:p w14:paraId="51BD4B44">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（采购人）：</w:t>
      </w:r>
    </w:p>
    <w:p w14:paraId="7EDEE09D">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（供应商名称）郑重承诺：</w:t>
      </w:r>
    </w:p>
    <w:p w14:paraId="56FF59EF">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1.我方具有良好的商业信誉和健全的财务会计制度，具有履行合同所必需的设备和专业技术能力，具</w:t>
      </w:r>
      <w:r>
        <w:rPr>
          <w:rFonts w:hint="eastAsia" w:ascii="仿宋" w:hAnsi="仿宋" w:eastAsia="仿宋" w:cs="仿宋"/>
          <w:color w:val="000000" w:themeColor="text1"/>
          <w:sz w:val="24"/>
          <w:szCs w:val="24"/>
          <w:highlight w:val="none"/>
          <w:lang w:val="zh-CN"/>
          <w14:textFill>
            <w14:solidFill>
              <w14:schemeClr w14:val="tx1"/>
            </w14:solidFill>
          </w14:textFill>
        </w:rPr>
        <w:t>有依法缴纳税收和社会保障金的良好记录</w:t>
      </w:r>
      <w:r>
        <w:rPr>
          <w:rFonts w:hint="eastAsia" w:ascii="仿宋" w:hAnsi="仿宋" w:eastAsia="仿宋" w:cs="仿宋"/>
          <w:color w:val="000000" w:themeColor="text1"/>
          <w:sz w:val="24"/>
          <w:szCs w:val="24"/>
          <w:highlight w:val="none"/>
          <w14:textFill>
            <w14:solidFill>
              <w14:schemeClr w14:val="tx1"/>
            </w14:solidFill>
          </w14:textFill>
        </w:rPr>
        <w:t>，参加本项目采购活动前三年内无重大违法活动记录。</w:t>
      </w:r>
    </w:p>
    <w:p w14:paraId="5407EB38">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1D77563E">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3.我方在采购项目评审（评标）环节结束后，随时接受采购人、采购代理机构的检查验证，配合提供相关证明材料，证明符合《中华人民共和国政府采购法》规定的供应商基本资格条件。</w:t>
      </w:r>
    </w:p>
    <w:p w14:paraId="31742230">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我方对以上承诺负全部法律责任。</w:t>
      </w:r>
    </w:p>
    <w:p w14:paraId="70EB0F27">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特此承诺。</w:t>
      </w:r>
    </w:p>
    <w:p w14:paraId="2FEE4669">
      <w:pPr>
        <w:tabs>
          <w:tab w:val="left" w:pos="6300"/>
        </w:tabs>
        <w:snapToGrid w:val="0"/>
        <w:spacing w:line="31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p>
    <w:p w14:paraId="50D81605">
      <w:pPr>
        <w:tabs>
          <w:tab w:val="left" w:pos="6300"/>
        </w:tabs>
        <w:snapToGrid w:val="0"/>
        <w:spacing w:line="312" w:lineRule="auto"/>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                     （供应商公章）</w:t>
      </w:r>
    </w:p>
    <w:p w14:paraId="00B27E00">
      <w:pPr>
        <w:tabs>
          <w:tab w:val="left" w:pos="6300"/>
        </w:tabs>
        <w:snapToGrid w:val="0"/>
        <w:spacing w:line="312" w:lineRule="auto"/>
        <w:ind w:firstLine="5520" w:firstLineChars="23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年   月   日</w:t>
      </w:r>
    </w:p>
    <w:p w14:paraId="09713AEE">
      <w:pPr>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bookmarkEnd w:id="25"/>
    <w:bookmarkEnd w:id="26"/>
    <w:p w14:paraId="2AAC48F5">
      <w:pPr>
        <w:pageBreakBefore w:val="0"/>
        <w:widowControl w:val="0"/>
        <w:tabs>
          <w:tab w:val="left" w:pos="6300"/>
        </w:tabs>
        <w:kinsoku/>
        <w:overflowPunct/>
        <w:topLinePunct w:val="0"/>
        <w:autoSpaceDE/>
        <w:autoSpaceDN/>
        <w:bidi w:val="0"/>
        <w:snapToGrid w:val="0"/>
        <w:spacing w:line="240" w:lineRule="auto"/>
        <w:ind w:firstLine="0" w:firstLineChars="0"/>
        <w:jc w:val="both"/>
        <w:textAlignment w:val="auto"/>
        <w:rPr>
          <w:rFonts w:hint="eastAsia" w:ascii="仿宋" w:hAnsi="仿宋" w:eastAsia="仿宋" w:cs="仿宋"/>
          <w:b/>
          <w:color w:val="000000" w:themeColor="text1"/>
          <w:highlight w:val="none"/>
          <w14:textFill>
            <w14:solidFill>
              <w14:schemeClr w14:val="tx1"/>
            </w14:solidFill>
          </w14:textFill>
        </w:rPr>
      </w:pPr>
      <w:bookmarkStart w:id="27" w:name="_Toc9726"/>
      <w:bookmarkStart w:id="28" w:name="_Toc477027621"/>
      <w:bookmarkStart w:id="29" w:name="_Toc18094"/>
      <w:r>
        <w:rPr>
          <w:rFonts w:hint="eastAsia" w:ascii="仿宋" w:hAnsi="仿宋" w:eastAsia="仿宋" w:cs="仿宋"/>
          <w:b/>
          <w:color w:val="000000" w:themeColor="text1"/>
          <w:highlight w:val="none"/>
          <w14:textFill>
            <w14:solidFill>
              <w14:schemeClr w14:val="tx1"/>
            </w14:solidFill>
          </w14:textFill>
        </w:rPr>
        <w:t>六、技术条款差异表</w:t>
      </w:r>
      <w:bookmarkEnd w:id="27"/>
    </w:p>
    <w:p w14:paraId="284E39C6">
      <w:pPr>
        <w:pStyle w:val="6"/>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技术条款差异表</w:t>
      </w:r>
    </w:p>
    <w:p w14:paraId="257C204D">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232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114EA08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序号</w:t>
            </w:r>
          </w:p>
        </w:tc>
        <w:tc>
          <w:tcPr>
            <w:tcW w:w="2289" w:type="dxa"/>
            <w:vAlign w:val="center"/>
          </w:tcPr>
          <w:p w14:paraId="47E5185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采购技术要求</w:t>
            </w:r>
          </w:p>
        </w:tc>
        <w:tc>
          <w:tcPr>
            <w:tcW w:w="2840" w:type="dxa"/>
            <w:vAlign w:val="center"/>
          </w:tcPr>
          <w:p w14:paraId="3BE586C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响应技术应答</w:t>
            </w:r>
          </w:p>
        </w:tc>
        <w:tc>
          <w:tcPr>
            <w:tcW w:w="1646" w:type="dxa"/>
            <w:vAlign w:val="center"/>
          </w:tcPr>
          <w:p w14:paraId="4DC8D93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正负偏离情况</w:t>
            </w:r>
          </w:p>
        </w:tc>
        <w:tc>
          <w:tcPr>
            <w:tcW w:w="1646" w:type="dxa"/>
            <w:vAlign w:val="center"/>
          </w:tcPr>
          <w:p w14:paraId="30758D5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差异说明</w:t>
            </w:r>
          </w:p>
        </w:tc>
      </w:tr>
      <w:tr w14:paraId="0DB2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0C9335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71F9573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0FAFE97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1DF8BA5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44125E9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2707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F994D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13BDAA0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1AEA19D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0F48C82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4292222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4BD4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0196BE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25E0AC8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0460EA8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6C21E5C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130A116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6A18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D448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631EDAA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46B248E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2B64143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5BB9CA7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3C10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602C025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2EED122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7991EF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00994FC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03D852F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6EE5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785F743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31867C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41475BB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3D8E615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1CFF31D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1C8A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6625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4F4A0E6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4B6884E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2927845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151484F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65FC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711BAE1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6CB35A6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501F78A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2F920F1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4E9C92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7273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00E7E7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0DEF3B8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3C324B9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705BECA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618D7CD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5755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452C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593E733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398560B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5AC6B8E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7CFE881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1E63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6B00CF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289" w:type="dxa"/>
            <w:vAlign w:val="center"/>
          </w:tcPr>
          <w:p w14:paraId="097FA58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840" w:type="dxa"/>
            <w:vAlign w:val="center"/>
          </w:tcPr>
          <w:p w14:paraId="517A55F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4B5BEE1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46" w:type="dxa"/>
            <w:vAlign w:val="center"/>
          </w:tcPr>
          <w:p w14:paraId="31F2F29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bl>
    <w:p w14:paraId="6E22D586">
      <w:pPr>
        <w:pStyle w:val="26"/>
        <w:pageBreakBefore w:val="0"/>
        <w:kinsoku/>
        <w:overflowPunct/>
        <w:topLinePunct w:val="0"/>
        <w:autoSpaceDE/>
        <w:autoSpaceDN/>
        <w:bidi w:val="0"/>
        <w:spacing w:line="240" w:lineRule="auto"/>
        <w:ind w:firstLine="600" w:firstLineChars="25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投标人：                                      法定代表人或授权代表： </w:t>
      </w:r>
    </w:p>
    <w:p w14:paraId="4980EA0A">
      <w:pPr>
        <w:pStyle w:val="26"/>
        <w:pageBreakBefore w:val="0"/>
        <w:kinsoku/>
        <w:overflowPunct/>
        <w:topLinePunct w:val="0"/>
        <w:autoSpaceDE/>
        <w:autoSpaceDN/>
        <w:bidi w:val="0"/>
        <w:spacing w:line="240" w:lineRule="auto"/>
        <w:ind w:firstLine="240" w:firstLineChars="1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（投标人公章）                                      （签字或盖章）</w:t>
      </w:r>
    </w:p>
    <w:p w14:paraId="67DE3584">
      <w:pPr>
        <w:pStyle w:val="26"/>
        <w:pageBreakBefore w:val="0"/>
        <w:kinsoku/>
        <w:overflowPunct/>
        <w:topLinePunct w:val="0"/>
        <w:autoSpaceDE/>
        <w:autoSpaceDN/>
        <w:bidi w:val="0"/>
        <w:spacing w:line="240" w:lineRule="auto"/>
        <w:ind w:left="480" w:hanging="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年     月     日</w:t>
      </w:r>
    </w:p>
    <w:p w14:paraId="78E5D87E">
      <w:pPr>
        <w:pStyle w:val="26"/>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注：</w:t>
      </w:r>
    </w:p>
    <w:p w14:paraId="2F2275BD">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1、本表即为对本项目“项目技术要求”所列技术要求进行比较和响应；</w:t>
      </w:r>
    </w:p>
    <w:p w14:paraId="277A8233">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b w:val="0"/>
          <w:color w:val="000000" w:themeColor="text1"/>
          <w:highlight w:val="none"/>
          <w14:textFill>
            <w14:solidFill>
              <w14:schemeClr w14:val="tx1"/>
            </w14:solidFill>
          </w14:textFill>
        </w:rPr>
      </w:pPr>
      <w:r>
        <w:rPr>
          <w:rFonts w:hint="eastAsia" w:ascii="仿宋" w:hAnsi="仿宋" w:eastAsia="仿宋" w:cs="仿宋"/>
          <w:b w:val="0"/>
          <w:color w:val="000000" w:themeColor="text1"/>
          <w:highlight w:val="none"/>
          <w14:textFill>
            <w14:solidFill>
              <w14:schemeClr w14:val="tx1"/>
            </w14:solidFill>
          </w14:textFill>
        </w:rPr>
        <w:t>2、该表必须按照招标文件要求如实填写，根据投标情况在“正负偏离情况”项填写“无差异”、“正偏离”或“负偏离”，在“差异说明”项填写“无差异”或正负偏离说明；</w:t>
      </w:r>
    </w:p>
    <w:p w14:paraId="154298C5">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3、该表可根据情况自行扩展。</w:t>
      </w:r>
    </w:p>
    <w:p w14:paraId="23DE3D55">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p>
    <w:p w14:paraId="090BCB89">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bookmarkStart w:id="30" w:name="_Toc4879"/>
      <w:r>
        <w:rPr>
          <w:rFonts w:hint="eastAsia" w:ascii="仿宋" w:hAnsi="仿宋" w:eastAsia="仿宋" w:cs="仿宋"/>
          <w:b/>
          <w:color w:val="000000" w:themeColor="text1"/>
          <w:highlight w:val="none"/>
          <w14:textFill>
            <w14:solidFill>
              <w14:schemeClr w14:val="tx1"/>
            </w14:solidFill>
          </w14:textFill>
        </w:rPr>
        <w:t>七、商务条款差异表</w:t>
      </w:r>
      <w:bookmarkEnd w:id="30"/>
    </w:p>
    <w:p w14:paraId="59001ED0">
      <w:pPr>
        <w:pStyle w:val="6"/>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商务条款差异表</w:t>
      </w:r>
    </w:p>
    <w:p w14:paraId="52AD1001">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采购项目名称：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25B0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51EAEC0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序号</w:t>
            </w:r>
          </w:p>
        </w:tc>
        <w:tc>
          <w:tcPr>
            <w:tcW w:w="2338" w:type="dxa"/>
            <w:vAlign w:val="center"/>
          </w:tcPr>
          <w:p w14:paraId="089B9F4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采购商务要求</w:t>
            </w:r>
          </w:p>
        </w:tc>
        <w:tc>
          <w:tcPr>
            <w:tcW w:w="2902" w:type="dxa"/>
            <w:vAlign w:val="center"/>
          </w:tcPr>
          <w:p w14:paraId="10F18ED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响应商务应答</w:t>
            </w:r>
          </w:p>
        </w:tc>
        <w:tc>
          <w:tcPr>
            <w:tcW w:w="1680" w:type="dxa"/>
            <w:vAlign w:val="center"/>
          </w:tcPr>
          <w:p w14:paraId="5FDC546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正负偏离情况</w:t>
            </w:r>
          </w:p>
        </w:tc>
        <w:tc>
          <w:tcPr>
            <w:tcW w:w="1680" w:type="dxa"/>
            <w:vAlign w:val="center"/>
          </w:tcPr>
          <w:p w14:paraId="4F42C3E5">
            <w:pPr>
              <w:pageBreakBefore w:val="0"/>
              <w:widowControl w:val="0"/>
              <w:tabs>
                <w:tab w:val="left" w:pos="6300"/>
              </w:tabs>
              <w:kinsoku/>
              <w:overflowPunct/>
              <w:topLinePunct w:val="0"/>
              <w:autoSpaceDE/>
              <w:autoSpaceDN/>
              <w:bidi w:val="0"/>
              <w:spacing w:line="240" w:lineRule="auto"/>
              <w:ind w:firstLine="21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差异说明</w:t>
            </w:r>
          </w:p>
        </w:tc>
      </w:tr>
      <w:tr w14:paraId="2DF0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8371902">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270E75E3">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02CA448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619163D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67343CA1">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66C2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2B4E64B0">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41B26CE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303BB57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64266BE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081E5B2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543B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CE966F3">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7391029B">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2A8F4EE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4BAC192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23DE650A">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37BB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EF01A3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5EF71A5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2771585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74DF098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588CDF3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059F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A07A38D">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2288CE8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44F99F3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5BB4C83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3B74121B">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5C6A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E311FF7">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42D5E7B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133A576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09A80506">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567389B0">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5ECE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5A2DF94">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3BCEEC9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28D7CAF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4DECC4E4">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052311C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44D3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86E554D">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1FF7C7A1">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6274889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3479E8E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2CDCB2C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7840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82B17C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4399E0F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49D9A8A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49B5328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09EFB0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4E89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CB1FE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1744449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250572D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036A0E8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371A419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r w14:paraId="2D61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983E36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338" w:type="dxa"/>
            <w:vAlign w:val="center"/>
          </w:tcPr>
          <w:p w14:paraId="1625CDE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902" w:type="dxa"/>
            <w:vAlign w:val="center"/>
          </w:tcPr>
          <w:p w14:paraId="68185AC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1265DC2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1680" w:type="dxa"/>
            <w:vAlign w:val="center"/>
          </w:tcPr>
          <w:p w14:paraId="7A8E462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000000" w:themeColor="text1"/>
                <w:sz w:val="21"/>
                <w:szCs w:val="21"/>
                <w:highlight w:val="none"/>
                <w14:textFill>
                  <w14:solidFill>
                    <w14:schemeClr w14:val="tx1"/>
                  </w14:solidFill>
                </w14:textFill>
              </w:rPr>
            </w:pPr>
          </w:p>
        </w:tc>
      </w:tr>
    </w:tbl>
    <w:p w14:paraId="61336780">
      <w:pPr>
        <w:pStyle w:val="26"/>
        <w:pageBreakBefore w:val="0"/>
        <w:kinsoku/>
        <w:overflowPunct/>
        <w:topLinePunct w:val="0"/>
        <w:autoSpaceDE/>
        <w:autoSpaceDN/>
        <w:bidi w:val="0"/>
        <w:spacing w:line="24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投标人：                                  法定代表人或授权代表： </w:t>
      </w:r>
    </w:p>
    <w:p w14:paraId="05DAE685">
      <w:pPr>
        <w:pStyle w:val="26"/>
        <w:pageBreakBefore w:val="0"/>
        <w:kinsoku/>
        <w:overflowPunct/>
        <w:topLinePunct w:val="0"/>
        <w:autoSpaceDE/>
        <w:autoSpaceDN/>
        <w:bidi w:val="0"/>
        <w:spacing w:line="240" w:lineRule="auto"/>
        <w:ind w:firstLine="240" w:firstLineChars="1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（投标人公章）                                  （签字或盖章）</w:t>
      </w:r>
    </w:p>
    <w:p w14:paraId="3C8AC235">
      <w:pPr>
        <w:pStyle w:val="26"/>
        <w:pageBreakBefore w:val="0"/>
        <w:kinsoku/>
        <w:overflowPunct/>
        <w:topLinePunct w:val="0"/>
        <w:autoSpaceDE/>
        <w:autoSpaceDN/>
        <w:bidi w:val="0"/>
        <w:spacing w:line="240" w:lineRule="auto"/>
        <w:ind w:left="480" w:hanging="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                                                年     月     日</w:t>
      </w:r>
    </w:p>
    <w:p w14:paraId="4DCE7714">
      <w:pPr>
        <w:pStyle w:val="26"/>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注：</w:t>
      </w:r>
    </w:p>
    <w:p w14:paraId="34A86B6A">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1、本表即为对本项目“项目商务要求”所列商务要求进行比较和响应；</w:t>
      </w:r>
    </w:p>
    <w:p w14:paraId="04D09F34">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2、该表必须按照招标文件要求如实填写，根据投标情况在“正负偏离情况”项填写“无差异”、“正偏离”或“负偏离”，在“差异说明”项填写“无差异”或正负偏离说明。</w:t>
      </w:r>
    </w:p>
    <w:p w14:paraId="53C63261">
      <w:pPr>
        <w:pageBreakBefore w:val="0"/>
        <w:kinsoku/>
        <w:overflowPunct/>
        <w:topLinePunct w:val="0"/>
        <w:autoSpaceDE/>
        <w:autoSpaceDN/>
        <w:bidi w:val="0"/>
        <w:spacing w:line="240" w:lineRule="auto"/>
        <w:ind w:firstLine="48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3、该表可根据情况自行扩展</w:t>
      </w:r>
    </w:p>
    <w:p w14:paraId="783E9912">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r>
        <w:rPr>
          <w:rFonts w:hint="eastAsia" w:ascii="仿宋" w:hAnsi="仿宋" w:eastAsia="仿宋" w:cs="仿宋"/>
          <w:b/>
          <w:color w:val="000000" w:themeColor="text1"/>
          <w:highlight w:val="none"/>
          <w14:textFill>
            <w14:solidFill>
              <w14:schemeClr w14:val="tx1"/>
            </w14:solidFill>
          </w14:textFill>
        </w:rPr>
        <w:t>八、</w:t>
      </w:r>
      <w:r>
        <w:rPr>
          <w:rFonts w:hint="eastAsia" w:ascii="宋体" w:hAnsi="宋体" w:cs="宋体"/>
          <w:b/>
          <w:color w:val="000000" w:themeColor="text1"/>
          <w:highlight w:val="none"/>
          <w14:textFill>
            <w14:solidFill>
              <w14:schemeClr w14:val="tx1"/>
            </w14:solidFill>
          </w14:textFill>
        </w:rPr>
        <w:t>其他应提供的资料</w:t>
      </w:r>
    </w:p>
    <w:p w14:paraId="1E85B66A">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07FE08EB">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5F257FC6">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5F26322D">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36146DA7">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2EB1F18D">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50A3EF18">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15A69157">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195AAD80">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72C5A99D">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6614F539">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3798C0FE">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4C17EE65">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549D34A6">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6BB335F2">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73C98DD6">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69FFB6BC">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6C3B8E92">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036A4FA5">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49AA3F52">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28202163">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2279C1A8">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00FB0730">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331CB1DB">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4C7BFDD5">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p w14:paraId="1D22A9A1">
      <w:pPr>
        <w:pStyle w:val="28"/>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000000" w:themeColor="text1"/>
          <w:sz w:val="24"/>
          <w:szCs w:val="24"/>
          <w:highlight w:val="none"/>
          <w14:textFill>
            <w14:solidFill>
              <w14:schemeClr w14:val="tx1"/>
            </w14:solidFill>
          </w14:textFill>
        </w:rPr>
      </w:pPr>
    </w:p>
    <w:bookmarkEnd w:id="28"/>
    <w:bookmarkEnd w:id="29"/>
    <w:p w14:paraId="09D7461A">
      <w:pPr>
        <w:pageBreakBefore w:val="0"/>
        <w:kinsoku/>
        <w:overflowPunct/>
        <w:topLinePunct w:val="0"/>
        <w:autoSpaceDE/>
        <w:autoSpaceDN/>
        <w:bidi w:val="0"/>
        <w:spacing w:line="240" w:lineRule="auto"/>
        <w:ind w:left="0" w:leftChars="0" w:firstLine="0" w:firstLineChars="0"/>
        <w:jc w:val="center"/>
        <w:textAlignment w:val="auto"/>
        <w:rPr>
          <w:rFonts w:hint="eastAsia" w:eastAsia="仿宋_GB2312"/>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结束</w:t>
      </w:r>
      <w:r>
        <w:rPr>
          <w:rFonts w:hint="eastAsia"/>
          <w:color w:val="000000" w:themeColor="text1"/>
          <w:highlight w:val="none"/>
          <w:lang w:eastAsia="zh-CN"/>
          <w14:textFill>
            <w14:solidFill>
              <w14:schemeClr w14:val="tx1"/>
            </w14:solidFill>
          </w14:textFill>
        </w:rPr>
        <w:t>）</w:t>
      </w:r>
    </w:p>
    <w:sectPr>
      <w:headerReference r:id="rId8" w:type="first"/>
      <w:headerReference r:id="rId6" w:type="default"/>
      <w:footerReference r:id="rId9" w:type="default"/>
      <w:headerReference r:id="rId7" w:type="even"/>
      <w:footerReference r:id="rId10" w:type="even"/>
      <w:pgSz w:w="11906" w:h="16838"/>
      <w:pgMar w:top="1134" w:right="1134" w:bottom="1134" w:left="1134" w:header="851" w:footer="851"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altName w:val="宋体"/>
    <w:panose1 w:val="020106090300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0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宋体"/>
    <w:panose1 w:val="02010609030001010101"/>
    <w:charset w:val="86"/>
    <w:family w:val="modern"/>
    <w:pitch w:val="default"/>
    <w:sig w:usb0="00000000" w:usb1="00000000" w:usb2="00000000" w:usb3="00000000" w:csb0="00040000" w:csb1="00000000"/>
  </w:font>
  <w:font w:name="Verdana">
    <w:altName w:val="DejaVu Sans"/>
    <w:panose1 w:val="020B0604030005040204"/>
    <w:charset w:val="00"/>
    <w:family w:val="swiss"/>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19452">
    <w:pPr>
      <w:pStyle w:val="14"/>
      <w:ind w:firstLine="42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E1F2085">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6E1F2085">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05062">
    <w:pPr>
      <w:ind w:firstLine="0" w:firstLineChars="0"/>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195A28B">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piiAcMMBAACHAwAADgAAAAAAAAABACAAAAAfAQAAZHJzL2Uyb0RvYy54bWxQ&#10;SwUGAAAAAAYABgBZAQAAVAUAAAAA&#10;">
              <v:fill on="f" focussize="0,0"/>
              <v:stroke on="f"/>
              <v:imagedata o:title=""/>
              <o:lock v:ext="edit" aspectratio="f"/>
              <v:textbox inset="0mm,0mm,0mm,0mm" style="mso-fit-shape-to-text:t;">
                <w:txbxContent>
                  <w:p w14:paraId="4195A28B">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F248">
    <w:pPr>
      <w:pStyle w:val="14"/>
      <w:framePr w:wrap="around" w:vAnchor="text" w:hAnchor="margin" w:xAlign="center" w:yAlign="top"/>
      <w:ind w:firstLine="422"/>
      <w:rPr>
        <w:rStyle w:val="20"/>
      </w:rPr>
    </w:pPr>
    <w:r>
      <w:fldChar w:fldCharType="begin"/>
    </w:r>
    <w:r>
      <w:rPr>
        <w:rStyle w:val="20"/>
      </w:rPr>
      <w:instrText xml:space="preserve">PAGE  </w:instrText>
    </w:r>
    <w:r>
      <w:fldChar w:fldCharType="separate"/>
    </w:r>
    <w:r>
      <w:rPr>
        <w:rStyle w:val="20"/>
      </w:rPr>
      <w:t>16</w:t>
    </w:r>
    <w:r>
      <w:fldChar w:fldCharType="end"/>
    </w:r>
  </w:p>
  <w:p w14:paraId="6DD95E5D">
    <w:pPr>
      <w:pStyle w:val="14"/>
      <w:ind w:right="360" w:firstLine="422"/>
    </w:pPr>
  </w:p>
  <w:p w14:paraId="45B83557">
    <w:pPr>
      <w:ind w:firstLine="480"/>
    </w:pPr>
  </w:p>
  <w:p w14:paraId="5C9CA0B4">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53F8E">
    <w:pPr>
      <w:pStyle w:val="15"/>
      <w:pBdr>
        <w:bottom w:val="none" w:color="auto" w:sz="0" w:space="0"/>
      </w:pBdr>
      <w:ind w:firstLineChars="0"/>
      <w:rPr>
        <w:rFonts w:hint="eastAsia" w:ascii="楷体_GB2312" w:eastAsia="楷体_GB2312"/>
        <w:b/>
        <w:sz w:val="24"/>
        <w:szCs w:val="24"/>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4E524">
    <w:pPr>
      <w:ind w:firstLine="0" w:firstLineChars="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F5ADF">
    <w:pPr>
      <w:ind w:left="480" w:firstLine="0" w:firstLineChars="0"/>
      <w:rPr>
        <w:rFonts w:ascii="Verdana" w:hAnsi="Verdana"/>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Thousand"/>
      <w:suff w:val="space"/>
      <w:lvlText w:val="%1. "/>
      <w:lvlJc w:val="left"/>
      <w:pPr>
        <w:ind w:left="907" w:hanging="907"/>
      </w:pPr>
      <w:rPr>
        <w:rFonts w:hint="eastAsia"/>
        <w:lang w:val="en-US"/>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0000001"/>
    <w:multiLevelType w:val="singleLevel"/>
    <w:tmpl w:val="00000001"/>
    <w:lvl w:ilvl="0" w:tentative="0">
      <w:start w:val="1"/>
      <w:numFmt w:val="decimal"/>
      <w:lvlText w:val="%1."/>
      <w:lvlJc w:val="left"/>
      <w:pPr>
        <w:tabs>
          <w:tab w:val="left" w:pos="312"/>
        </w:tabs>
      </w:pPr>
    </w:lvl>
  </w:abstractNum>
  <w:abstractNum w:abstractNumId="2">
    <w:nsid w:val="00000002"/>
    <w:multiLevelType w:val="multilevel"/>
    <w:tmpl w:val="00000002"/>
    <w:lvl w:ilvl="0" w:tentative="0">
      <w:start w:val="6"/>
      <w:numFmt w:val="chineseCounting"/>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6FC8A3"/>
    <w:rsid w:val="E6EEC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20" w:lineRule="exact"/>
      <w:ind w:firstLine="200" w:firstLineChars="200"/>
    </w:pPr>
    <w:rPr>
      <w:rFonts w:ascii="Times New Roman" w:hAnsi="Times New Roman" w:eastAsia="仿宋_GB2312" w:cs="Times New Roman"/>
      <w:kern w:val="2"/>
      <w:sz w:val="24"/>
      <w:szCs w:val="24"/>
      <w:lang w:val="en-US" w:eastAsia="zh-CN" w:bidi="ar-SA"/>
    </w:rPr>
  </w:style>
  <w:style w:type="paragraph" w:styleId="5">
    <w:name w:val="heading 2"/>
    <w:basedOn w:val="1"/>
    <w:next w:val="1"/>
    <w:qFormat/>
    <w:uiPriority w:val="0"/>
    <w:pPr>
      <w:keepNext/>
      <w:keepLines/>
      <w:adjustRightInd w:val="0"/>
      <w:snapToGrid w:val="0"/>
      <w:spacing w:before="62" w:beforeLines="20" w:after="62" w:afterLines="20" w:line="380" w:lineRule="exact"/>
      <w:ind w:firstLine="140" w:firstLineChars="140"/>
      <w:outlineLvl w:val="1"/>
    </w:pPr>
    <w:rPr>
      <w:rFonts w:ascii="宋体" w:hAnsi="宋体" w:eastAsia="黑体"/>
      <w:b/>
      <w:sz w:val="30"/>
    </w:rPr>
  </w:style>
  <w:style w:type="paragraph" w:styleId="6">
    <w:name w:val="heading 4"/>
    <w:basedOn w:val="1"/>
    <w:next w:val="1"/>
    <w:qFormat/>
    <w:uiPriority w:val="0"/>
    <w:pPr>
      <w:keepNext/>
      <w:keepLines/>
      <w:tabs>
        <w:tab w:val="left" w:pos="720"/>
      </w:tabs>
      <w:spacing w:before="31" w:beforeLines="10" w:after="31" w:afterLines="10" w:line="380" w:lineRule="exact"/>
      <w:ind w:firstLine="210" w:firstLineChars="210"/>
      <w:outlineLvl w:val="3"/>
    </w:pPr>
    <w:rPr>
      <w:rFonts w:ascii="Arial" w:hAnsi="Arial" w:eastAsia="黑体"/>
      <w:b/>
      <w:sz w:val="25"/>
    </w:rPr>
  </w:style>
  <w:style w:type="character" w:default="1" w:styleId="19">
    <w:name w:val="Default Paragraph Font"/>
    <w:qFormat/>
    <w:uiPriority w:val="0"/>
  </w:style>
  <w:style w:type="table" w:default="1" w:styleId="18">
    <w:name w:val="Normal Table"/>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pPr>
    <w:rPr>
      <w:sz w:val="18"/>
      <w:szCs w:val="18"/>
    </w:rPr>
  </w:style>
  <w:style w:type="paragraph" w:styleId="3">
    <w:name w:val="Body Text Indent"/>
    <w:basedOn w:val="1"/>
    <w:next w:val="1"/>
    <w:qFormat/>
    <w:uiPriority w:val="0"/>
    <w:pPr>
      <w:widowControl w:val="0"/>
      <w:spacing w:after="120"/>
      <w:ind w:left="420" w:leftChars="200"/>
    </w:pPr>
    <w:rPr>
      <w:rFonts w:ascii="Arial" w:hAnsi="Arial" w:eastAsia="宋体"/>
      <w:b/>
      <w:smallCaps/>
      <w:kern w:val="28"/>
      <w:sz w:val="36"/>
      <w:szCs w:val="20"/>
      <w:lang w:eastAsia="en-US"/>
    </w:rPr>
  </w:style>
  <w:style w:type="paragraph" w:styleId="4">
    <w:name w:val="toa heading"/>
    <w:basedOn w:val="1"/>
    <w:next w:val="1"/>
    <w:qFormat/>
    <w:uiPriority w:val="0"/>
    <w:pPr>
      <w:spacing w:before="120"/>
    </w:pPr>
    <w:rPr>
      <w:rFonts w:ascii="Arial" w:hAnsi="Arial"/>
      <w:sz w:val="24"/>
    </w:rPr>
  </w:style>
  <w:style w:type="paragraph" w:styleId="7">
    <w:name w:val="Normal Indent"/>
    <w:basedOn w:val="8"/>
    <w:qFormat/>
    <w:uiPriority w:val="0"/>
    <w:pPr>
      <w:adjustRightInd w:val="0"/>
      <w:snapToGrid w:val="0"/>
      <w:spacing w:line="360" w:lineRule="auto"/>
      <w:ind w:firstLine="420"/>
    </w:pPr>
    <w:rPr>
      <w:sz w:val="24"/>
    </w:rPr>
  </w:style>
  <w:style w:type="paragraph" w:styleId="8">
    <w:name w:val="Body Text 2"/>
    <w:basedOn w:val="1"/>
    <w:qFormat/>
    <w:uiPriority w:val="0"/>
    <w:pPr>
      <w:adjustRightInd w:val="0"/>
      <w:snapToGrid w:val="0"/>
      <w:spacing w:after="120" w:afterAutospacing="0" w:line="480" w:lineRule="auto"/>
    </w:pPr>
    <w:rPr>
      <w:sz w:val="24"/>
    </w:rPr>
  </w:style>
  <w:style w:type="paragraph" w:styleId="9">
    <w:name w:val="Body Text"/>
    <w:basedOn w:val="1"/>
    <w:next w:val="10"/>
    <w:qFormat/>
    <w:uiPriority w:val="0"/>
    <w:pPr>
      <w:widowControl w:val="0"/>
      <w:spacing w:after="120"/>
    </w:pPr>
    <w:rPr>
      <w:rFonts w:ascii="宋体" w:hAnsi="宋体"/>
      <w:sz w:val="28"/>
      <w:szCs w:val="20"/>
      <w:lang w:eastAsia="en-US"/>
    </w:rPr>
  </w:style>
  <w:style w:type="paragraph" w:customStyle="1" w:styleId="10">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11">
    <w:name w:val="Plain Text"/>
    <w:basedOn w:val="1"/>
    <w:qFormat/>
    <w:uiPriority w:val="0"/>
    <w:pPr>
      <w:adjustRightInd w:val="0"/>
      <w:snapToGrid w:val="0"/>
      <w:spacing w:line="360" w:lineRule="auto"/>
    </w:pPr>
    <w:rPr>
      <w:rFonts w:ascii="宋体" w:hAnsi="宋体" w:eastAsia="宋体"/>
      <w:sz w:val="28"/>
      <w:szCs w:val="20"/>
    </w:rPr>
  </w:style>
  <w:style w:type="paragraph" w:styleId="12">
    <w:name w:val="Date"/>
    <w:basedOn w:val="1"/>
    <w:next w:val="1"/>
    <w:qFormat/>
    <w:uiPriority w:val="0"/>
    <w:rPr>
      <w:sz w:val="28"/>
    </w:rPr>
  </w:style>
  <w:style w:type="paragraph" w:styleId="13">
    <w:name w:val="Body Text Indent 2"/>
    <w:basedOn w:val="2"/>
    <w:next w:val="2"/>
    <w:qFormat/>
    <w:uiPriority w:val="0"/>
    <w:pPr>
      <w:widowControl w:val="0"/>
      <w:snapToGrid w:val="0"/>
      <w:spacing w:line="440" w:lineRule="atLeast"/>
      <w:ind w:firstLine="570"/>
    </w:pPr>
    <w:rPr>
      <w:rFonts w:ascii="宋体"/>
    </w:rPr>
  </w:style>
  <w:style w:type="paragraph" w:styleId="14">
    <w:name w:val="footer"/>
    <w:basedOn w:val="1"/>
    <w:qFormat/>
    <w:uiPriority w:val="0"/>
    <w:pPr>
      <w:tabs>
        <w:tab w:val="center" w:pos="4153"/>
        <w:tab w:val="right" w:pos="8306"/>
      </w:tabs>
      <w:snapToGrid w:val="0"/>
    </w:pPr>
    <w:rPr>
      <w:rFonts w:eastAsia="宋体"/>
      <w:b/>
      <w:sz w:val="21"/>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仿宋_GB2312"/>
      <w:sz w:val="32"/>
      <w:szCs w:val="20"/>
    </w:r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paragraph" w:styleId="17">
    <w:name w:val="Body Text First Indent"/>
    <w:basedOn w:val="9"/>
    <w:qFormat/>
    <w:uiPriority w:val="0"/>
    <w:pPr>
      <w:widowControl w:val="0"/>
      <w:spacing w:line="360" w:lineRule="auto"/>
      <w:ind w:firstLine="420"/>
    </w:pPr>
    <w:rPr>
      <w:sz w:val="24"/>
      <w:szCs w:val="24"/>
      <w:lang w:eastAsia="zh-CN"/>
    </w:rPr>
  </w:style>
  <w:style w:type="character" w:styleId="20">
    <w:name w:val="page number"/>
    <w:basedOn w:val="19"/>
    <w:qFormat/>
    <w:uiPriority w:val="0"/>
  </w:style>
  <w:style w:type="paragraph" w:customStyle="1" w:styleId="21">
    <w:name w:val="标题 5（有编号）（绿盟科技）"/>
    <w:basedOn w:val="1"/>
    <w:next w:val="22"/>
    <w:qFormat/>
    <w:uiPriority w:val="0"/>
    <w:pPr>
      <w:keepNext/>
      <w:keepLines/>
      <w:widowControl w:val="0"/>
      <w:numPr>
        <w:ilvl w:val="4"/>
        <w:numId w:val="1"/>
      </w:numPr>
      <w:spacing w:before="280" w:after="156" w:line="377" w:lineRule="auto"/>
      <w:ind w:firstLine="0" w:firstLineChars="0"/>
      <w:outlineLvl w:val="4"/>
    </w:pPr>
    <w:rPr>
      <w:rFonts w:ascii="Arial" w:hAnsi="Arial" w:eastAsia="黑体"/>
      <w:b/>
      <w:kern w:val="0"/>
      <w:szCs w:val="28"/>
    </w:rPr>
  </w:style>
  <w:style w:type="paragraph" w:customStyle="1" w:styleId="22">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23">
    <w:name w:val="Table Normal"/>
    <w:qFormat/>
    <w:uiPriority w:val="0"/>
    <w:tblPr>
      <w:tblCellMar>
        <w:top w:w="0" w:type="dxa"/>
        <w:left w:w="0" w:type="dxa"/>
        <w:bottom w:w="0" w:type="dxa"/>
        <w:right w:w="0" w:type="dxa"/>
      </w:tblCellMar>
    </w:tblPr>
  </w:style>
  <w:style w:type="paragraph" w:customStyle="1" w:styleId="24">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5">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customStyle="1" w:styleId="26">
    <w:name w:val="授权书和信息卡行距"/>
    <w:qFormat/>
    <w:uiPriority w:val="0"/>
    <w:pPr>
      <w:spacing w:line="560" w:lineRule="exact"/>
    </w:pPr>
    <w:rPr>
      <w:rFonts w:ascii="Times New Roman" w:hAnsi="Times New Roman" w:eastAsia="仿宋_GB2312" w:cs="Times New Roman"/>
      <w:kern w:val="2"/>
      <w:sz w:val="24"/>
      <w:szCs w:val="24"/>
      <w:lang w:val="en-US" w:eastAsia="zh-CN" w:bidi="ar-SA"/>
    </w:rPr>
  </w:style>
  <w:style w:type="paragraph" w:customStyle="1" w:styleId="27">
    <w:name w:val="正文（GB2312加粗）"/>
    <w:qFormat/>
    <w:uiPriority w:val="0"/>
    <w:pPr>
      <w:ind w:firstLine="200" w:firstLineChars="200"/>
    </w:pPr>
    <w:rPr>
      <w:rFonts w:ascii="Times New Roman" w:hAnsi="Times New Roman" w:eastAsia="仿宋_GB2312" w:cs="Times New Roman"/>
      <w:b/>
      <w:kern w:val="2"/>
      <w:sz w:val="24"/>
      <w:szCs w:val="24"/>
      <w:lang w:val="en-US" w:eastAsia="zh-CN" w:bidi="ar-SA"/>
    </w:rPr>
  </w:style>
  <w:style w:type="paragraph" w:customStyle="1" w:styleId="28">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9">
    <w:name w:val="图例"/>
    <w:basedOn w:val="1"/>
    <w:qFormat/>
    <w:uiPriority w:val="0"/>
    <w:pPr>
      <w:spacing w:before="120" w:beforeAutospacing="0" w:after="120" w:afterAutospacing="0" w:line="360" w:lineRule="auto"/>
      <w:jc w:val="center"/>
    </w:pPr>
    <w:rPr>
      <w:rFonts w:eastAsia="仿宋_GB2312"/>
      <w:b/>
      <w:sz w:val="24"/>
    </w:rPr>
  </w:style>
  <w:style w:type="paragraph" w:styleId="30">
    <w:name w:val="List Paragraph"/>
    <w:basedOn w:val="1"/>
    <w:qFormat/>
    <w:uiPriority w:val="34"/>
    <w:pPr>
      <w:ind w:firstLine="420" w:firstLineChars="200"/>
    </w:pPr>
  </w:style>
  <w:style w:type="paragraph" w:customStyle="1" w:styleId="3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7877</Words>
  <Characters>8144</Characters>
  <Paragraphs>629</Paragraphs>
  <TotalTime>76</TotalTime>
  <ScaleCrop>false</ScaleCrop>
  <LinksUpToDate>false</LinksUpToDate>
  <CharactersWithSpaces>9156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2026-05-26T22:53:00Z</dcterms:created>
  <dc:creator>敬哥哥</dc:creator>
  <cp:lastModifiedBy>huawei</cp:lastModifiedBy>
  <cp:lastPrinted>2026-08-07T19:18:00Z</cp:lastPrinted>
  <dcterms:modified xsi:type="dcterms:W3CDTF">2026-08-07T16:35:14Z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D79AF9B6F4FA0C64C298756A3103DEC7_43</vt:lpwstr>
  </property>
  <property fmtid="{D5CDD505-2E9C-101B-9397-08002B2CF9AE}" pid="4" name="KSOTemplateDocerSaveRecord">
    <vt:lpwstr>eyJoZGlkIjoiZDFmMTEzMWVhMWJjMzBhMzIyNDM5OWUxZGQ4ZWQ5YzMiLCJ1c2VySWQiOiI0MzA4MDY5MzkifQ==</vt:lpwstr>
  </property>
</Properties>
</file>