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eastAsia="方正仿宋_GBK" w:cs="方正仿宋_GBK"/>
          <w:sz w:val="32"/>
          <w:szCs w:val="32"/>
        </w:rPr>
      </w:pPr>
    </w:p>
    <w:p>
      <w:pPr>
        <w:tabs>
          <w:tab w:val="left" w:pos="480"/>
          <w:tab w:val="center" w:pos="4422"/>
        </w:tabs>
        <w:spacing w:line="600" w:lineRule="atLeast"/>
        <w:jc w:val="left"/>
        <w:rPr>
          <w:rFonts w:ascii="方正仿宋_GBK" w:eastAsia="方正仿宋_GBK" w:cs="方正仿宋_GBK"/>
          <w:sz w:val="32"/>
          <w:szCs w:val="32"/>
        </w:rPr>
      </w:pPr>
      <w:r>
        <w:rPr>
          <w:rFonts w:ascii="方正仿宋_GBK" w:eastAsia="方正仿宋_GBK" w:cs="方正仿宋_GBK"/>
          <w:sz w:val="32"/>
          <w:szCs w:val="32"/>
        </w:rPr>
        <w:tab/>
      </w:r>
      <w:r>
        <w:rPr>
          <w:rFonts w:ascii="方正仿宋_GBK" w:eastAsia="方正仿宋_GBK" w:cs="方正仿宋_GBK"/>
          <w:sz w:val="32"/>
          <w:szCs w:val="32"/>
        </w:rPr>
        <w:tab/>
      </w:r>
      <w:r>
        <w:rPr>
          <w:rFonts w:hint="eastAsia" w:ascii="方正仿宋_GBK" w:eastAsia="方正仿宋_GBK" w:cs="方正仿宋_GBK"/>
          <w:sz w:val="32"/>
          <w:szCs w:val="32"/>
        </w:rPr>
        <w:t xml:space="preserve"> </w:t>
      </w:r>
    </w:p>
    <w:p>
      <w:pPr>
        <w:adjustRightInd w:val="0"/>
        <w:spacing w:line="540" w:lineRule="exact"/>
        <w:jc w:val="center"/>
        <w:rPr>
          <w:rFonts w:ascii="Times New Roman" w:hAnsi="Times New Roman" w:eastAsia="方正小标宋_GBK" w:cs="方正小标宋_GBK"/>
          <w:kern w:val="0"/>
          <w:sz w:val="44"/>
          <w:szCs w:val="44"/>
        </w:rPr>
      </w:pPr>
      <w:r>
        <w:rPr>
          <w:rFonts w:hint="eastAsia" w:ascii="Times New Roman" w:hAnsi="Times New Roman" w:eastAsia="方正小标宋_GBK" w:cs="方正小标宋_GBK"/>
          <w:kern w:val="0"/>
          <w:sz w:val="44"/>
          <w:szCs w:val="44"/>
        </w:rPr>
        <w:t>重庆市地方金融</w:t>
      </w:r>
      <w:bookmarkStart w:id="0" w:name="_GoBack"/>
      <w:bookmarkEnd w:id="0"/>
      <w:r>
        <w:rPr>
          <w:rFonts w:hint="eastAsia" w:ascii="Times New Roman" w:hAnsi="Times New Roman" w:eastAsia="方正小标宋_GBK" w:cs="方正小标宋_GBK"/>
          <w:kern w:val="0"/>
          <w:sz w:val="44"/>
          <w:szCs w:val="44"/>
        </w:rPr>
        <w:t>监督管理局</w:t>
      </w:r>
    </w:p>
    <w:p>
      <w:pPr>
        <w:spacing w:line="540" w:lineRule="exact"/>
        <w:jc w:val="center"/>
        <w:rPr>
          <w:rFonts w:ascii="Times New Roman" w:hAnsi="Times New Roman" w:eastAsia="方正小标宋_GBK" w:cs="方正小标宋_GBK"/>
          <w:spacing w:val="-6"/>
          <w:kern w:val="0"/>
          <w:sz w:val="44"/>
          <w:szCs w:val="44"/>
          <w:shd w:val="clear" w:color="auto" w:fill="FFFFFF"/>
          <w:lang w:bidi="ar"/>
        </w:rPr>
      </w:pPr>
      <w:r>
        <w:rPr>
          <w:rFonts w:ascii="Times New Roman" w:hAnsi="Times New Roman" w:eastAsia="方正小标宋_GBK" w:cs="方正小标宋_GBK"/>
          <w:spacing w:val="-6"/>
          <w:kern w:val="0"/>
          <w:sz w:val="44"/>
          <w:szCs w:val="44"/>
          <w:shd w:val="clear" w:color="auto" w:fill="FFFFFF"/>
          <w:lang w:bidi="ar"/>
        </w:rPr>
        <w:t>关于印发重庆市拟上市企业后备库</w:t>
      </w:r>
    </w:p>
    <w:p>
      <w:pPr>
        <w:spacing w:line="540" w:lineRule="exact"/>
        <w:jc w:val="center"/>
        <w:rPr>
          <w:rFonts w:ascii="Times New Roman" w:hAnsi="Times New Roman" w:eastAsia="方正小标宋_GBK" w:cs="方正小标宋_GBK"/>
          <w:spacing w:val="-6"/>
          <w:kern w:val="0"/>
          <w:sz w:val="44"/>
          <w:szCs w:val="44"/>
          <w:shd w:val="clear" w:color="auto" w:fill="FFFFFF"/>
          <w:lang w:bidi="ar"/>
        </w:rPr>
      </w:pPr>
      <w:r>
        <w:rPr>
          <w:rFonts w:ascii="Times New Roman" w:hAnsi="Times New Roman" w:eastAsia="方正小标宋_GBK" w:cs="方正小标宋_GBK"/>
          <w:spacing w:val="-6"/>
          <w:kern w:val="0"/>
          <w:sz w:val="44"/>
          <w:szCs w:val="44"/>
          <w:shd w:val="clear" w:color="auto" w:fill="FFFFFF"/>
          <w:lang w:bidi="ar"/>
        </w:rPr>
        <w:t>管理办法的通知</w:t>
      </w:r>
    </w:p>
    <w:p>
      <w:pPr>
        <w:topLinePunct/>
        <w:adjustRightInd w:val="0"/>
        <w:spacing w:line="540" w:lineRule="exact"/>
        <w:jc w:val="center"/>
        <w:rPr>
          <w:rFonts w:ascii="方正仿宋_GBK" w:hAnsi="Times New Roman" w:eastAsia="方正仿宋_GBK" w:cs="Times New Roman"/>
          <w:kern w:val="0"/>
          <w:sz w:val="32"/>
          <w:szCs w:val="32"/>
        </w:rPr>
      </w:pPr>
      <w:r>
        <w:rPr>
          <w:rFonts w:hint="eastAsia" w:ascii="方正仿宋_GBK" w:hAnsi="Times New Roman" w:eastAsia="方正仿宋_GBK" w:cs="Times New Roman"/>
          <w:kern w:val="0"/>
          <w:sz w:val="32"/>
          <w:szCs w:val="32"/>
        </w:rPr>
        <w:t>渝金发〔2022〕2号</w:t>
      </w:r>
    </w:p>
    <w:p>
      <w:pPr>
        <w:spacing w:line="590" w:lineRule="exact"/>
        <w:jc w:val="center"/>
        <w:rPr>
          <w:rFonts w:ascii="Times New Roman" w:hAnsi="Times New Roman" w:eastAsia="方正楷体_GBK" w:cs="方正仿宋_GBK"/>
          <w:spacing w:val="-6"/>
          <w:kern w:val="0"/>
          <w:sz w:val="32"/>
          <w:szCs w:val="32"/>
          <w:shd w:val="clear" w:color="auto" w:fill="FFFFFF"/>
        </w:rPr>
      </w:pPr>
    </w:p>
    <w:p>
      <w:pPr>
        <w:spacing w:line="600" w:lineRule="exact"/>
        <w:rPr>
          <w:rFonts w:ascii="Times New Roman" w:hAnsi="Times New Roman" w:eastAsia="方正仿宋_GBK" w:cs="方正仿宋_GBK"/>
          <w:spacing w:val="-6"/>
          <w:kern w:val="0"/>
          <w:sz w:val="32"/>
          <w:szCs w:val="32"/>
          <w:shd w:val="clear" w:color="auto" w:fill="FFFFFF"/>
        </w:rPr>
      </w:pPr>
      <w:r>
        <w:rPr>
          <w:rFonts w:ascii="Times New Roman" w:hAnsi="Times New Roman" w:eastAsia="方正仿宋_GBK" w:cs="方正仿宋_GBK"/>
          <w:spacing w:val="-6"/>
          <w:kern w:val="0"/>
          <w:sz w:val="32"/>
          <w:szCs w:val="32"/>
          <w:shd w:val="clear" w:color="auto" w:fill="FFFFFF"/>
          <w:lang w:bidi="ar"/>
        </w:rPr>
        <w:t>各区县（自治县）人民政府，两江新区、西部科学城重庆高新区、万盛经开区管委会，市级有关</w:t>
      </w:r>
      <w:r>
        <w:rPr>
          <w:rFonts w:ascii="Times New Roman" w:hAnsi="Times New Roman" w:eastAsia="方正仿宋_GBK" w:cs="方正仿宋_GBK"/>
          <w:sz w:val="32"/>
          <w:szCs w:val="32"/>
          <w:lang w:bidi="ar"/>
        </w:rPr>
        <w:t>部门</w:t>
      </w:r>
      <w:r>
        <w:rPr>
          <w:rFonts w:ascii="Times New Roman" w:hAnsi="Times New Roman" w:eastAsia="方正仿宋_GBK" w:cs="方正仿宋_GBK"/>
          <w:spacing w:val="-6"/>
          <w:kern w:val="0"/>
          <w:sz w:val="32"/>
          <w:szCs w:val="32"/>
          <w:shd w:val="clear" w:color="auto" w:fill="FFFFFF"/>
          <w:lang w:bidi="ar"/>
        </w:rPr>
        <w:t>：</w:t>
      </w:r>
    </w:p>
    <w:p>
      <w:pPr>
        <w:spacing w:line="600" w:lineRule="exact"/>
        <w:ind w:firstLine="616" w:firstLineChars="200"/>
        <w:rPr>
          <w:rFonts w:ascii="Times New Roman" w:hAnsi="Times New Roman" w:eastAsia="方正仿宋_GBK" w:cs="方正仿宋_GBK"/>
          <w:spacing w:val="-6"/>
          <w:kern w:val="0"/>
          <w:sz w:val="32"/>
          <w:szCs w:val="32"/>
          <w:shd w:val="clear" w:color="auto" w:fill="FFFFFF"/>
        </w:rPr>
      </w:pPr>
      <w:r>
        <w:rPr>
          <w:rFonts w:ascii="Times New Roman" w:hAnsi="Times New Roman" w:eastAsia="方正仿宋_GBK" w:cs="方正仿宋_GBK"/>
          <w:spacing w:val="-6"/>
          <w:kern w:val="0"/>
          <w:sz w:val="32"/>
          <w:szCs w:val="32"/>
          <w:shd w:val="clear" w:color="auto" w:fill="FFFFFF"/>
          <w:lang w:bidi="ar"/>
        </w:rPr>
        <w:t>《重庆市拟上市企业后备库管理办法》已经市政府领导同意，现印发给你们，请认真组织实施。</w:t>
      </w:r>
    </w:p>
    <w:p>
      <w:pPr>
        <w:spacing w:line="600" w:lineRule="exact"/>
        <w:ind w:right="480"/>
        <w:jc w:val="right"/>
        <w:rPr>
          <w:rFonts w:ascii="Times New Roman" w:hAnsi="Times New Roman" w:eastAsia="方正仿宋_GBK" w:cs="方正仿宋_GBK"/>
          <w:spacing w:val="-6"/>
          <w:kern w:val="0"/>
          <w:sz w:val="32"/>
          <w:szCs w:val="32"/>
          <w:shd w:val="clear" w:color="auto" w:fill="FFFFFF"/>
        </w:rPr>
      </w:pPr>
    </w:p>
    <w:p>
      <w:pPr>
        <w:spacing w:line="600" w:lineRule="exact"/>
        <w:ind w:right="480"/>
        <w:jc w:val="right"/>
        <w:rPr>
          <w:rFonts w:ascii="Times New Roman" w:hAnsi="Times New Roman" w:eastAsia="方正仿宋_GBK" w:cs="方正仿宋_GBK"/>
          <w:spacing w:val="-6"/>
          <w:kern w:val="0"/>
          <w:sz w:val="32"/>
          <w:szCs w:val="32"/>
          <w:shd w:val="clear" w:color="auto" w:fill="FFFFFF"/>
        </w:rPr>
      </w:pPr>
    </w:p>
    <w:p>
      <w:pPr>
        <w:spacing w:line="600" w:lineRule="exact"/>
        <w:ind w:right="480"/>
        <w:jc w:val="right"/>
        <w:rPr>
          <w:rFonts w:ascii="Times New Roman" w:hAnsi="Times New Roman" w:eastAsia="方正仿宋_GBK" w:cs="方正仿宋_GBK"/>
          <w:spacing w:val="-6"/>
          <w:kern w:val="0"/>
          <w:sz w:val="32"/>
          <w:szCs w:val="32"/>
          <w:shd w:val="clear" w:color="auto" w:fill="FFFFFF"/>
        </w:rPr>
      </w:pPr>
    </w:p>
    <w:p>
      <w:pPr>
        <w:spacing w:line="600" w:lineRule="exact"/>
        <w:ind w:right="480"/>
        <w:jc w:val="right"/>
        <w:rPr>
          <w:rFonts w:ascii="Times New Roman" w:hAnsi="Times New Roman" w:eastAsia="方正仿宋_GBK" w:cs="宋体"/>
          <w:kern w:val="0"/>
          <w:sz w:val="32"/>
          <w:szCs w:val="32"/>
          <w:shd w:val="clear" w:color="auto" w:fill="FFFFFF"/>
          <w:lang w:bidi="ar"/>
        </w:rPr>
      </w:pPr>
      <w:r>
        <w:rPr>
          <w:rFonts w:ascii="Times New Roman" w:hAnsi="Times New Roman" w:eastAsia="方正仿宋_GBK" w:cs="方正仿宋_GBK"/>
          <w:kern w:val="0"/>
          <w:sz w:val="32"/>
          <w:szCs w:val="32"/>
          <w:shd w:val="clear" w:color="auto" w:fill="FFFFFF"/>
          <w:lang w:bidi="ar"/>
        </w:rPr>
        <w:t>重庆市地方金融监督管理局</w:t>
      </w:r>
      <w:r>
        <w:rPr>
          <w:rFonts w:ascii="Times New Roman" w:hAnsi="Times New Roman" w:eastAsia="方正仿宋_GBK" w:cs="宋体"/>
          <w:kern w:val="0"/>
          <w:sz w:val="32"/>
          <w:szCs w:val="32"/>
          <w:shd w:val="clear" w:color="auto" w:fill="FFFFFF"/>
          <w:lang w:bidi="ar"/>
        </w:rPr>
        <w:t xml:space="preserve">                              </w:t>
      </w:r>
    </w:p>
    <w:p>
      <w:pPr>
        <w:tabs>
          <w:tab w:val="left" w:pos="5246"/>
        </w:tabs>
        <w:spacing w:line="600" w:lineRule="exact"/>
        <w:rPr>
          <w:rFonts w:ascii="Times New Roman" w:hAnsi="Times New Roman" w:eastAsia="方正仿宋_GBK" w:cs="方正仿宋_GBK"/>
          <w:kern w:val="0"/>
          <w:sz w:val="32"/>
          <w:szCs w:val="32"/>
          <w:shd w:val="clear" w:color="auto" w:fill="FFFFFF"/>
          <w:lang w:bidi="ar"/>
        </w:rPr>
      </w:pPr>
      <w:r>
        <w:rPr>
          <w:rFonts w:ascii="Times New Roman" w:hAnsi="Times New Roman" w:eastAsia="方正仿宋_GBK" w:cs="方正仿宋_GBK"/>
          <w:spacing w:val="-6"/>
          <w:kern w:val="0"/>
          <w:sz w:val="32"/>
          <w:szCs w:val="32"/>
          <w:shd w:val="clear" w:color="auto" w:fill="FFFFFF"/>
        </w:rPr>
        <w:tab/>
      </w:r>
      <w:r>
        <w:rPr>
          <w:rFonts w:ascii="Times New Roman" w:hAnsi="Times New Roman" w:eastAsia="方正仿宋_GBK" w:cs="宋体"/>
          <w:kern w:val="0"/>
          <w:sz w:val="32"/>
          <w:szCs w:val="32"/>
          <w:shd w:val="clear" w:color="auto" w:fill="FFFFFF"/>
          <w:lang w:bidi="ar"/>
        </w:rPr>
        <w:t>2022</w:t>
      </w:r>
      <w:r>
        <w:rPr>
          <w:rFonts w:ascii="Times New Roman" w:hAnsi="Times New Roman" w:eastAsia="方正仿宋_GBK" w:cs="方正仿宋_GBK"/>
          <w:kern w:val="0"/>
          <w:sz w:val="32"/>
          <w:szCs w:val="32"/>
          <w:shd w:val="clear" w:color="auto" w:fill="FFFFFF"/>
          <w:lang w:bidi="ar"/>
        </w:rPr>
        <w:t>年</w:t>
      </w:r>
      <w:r>
        <w:rPr>
          <w:rFonts w:ascii="Times New Roman" w:hAnsi="Times New Roman" w:eastAsia="方正仿宋_GBK" w:cs="宋体"/>
          <w:kern w:val="0"/>
          <w:sz w:val="32"/>
          <w:szCs w:val="32"/>
          <w:shd w:val="clear" w:color="auto" w:fill="FFFFFF"/>
          <w:lang w:bidi="ar"/>
        </w:rPr>
        <w:t>7</w:t>
      </w:r>
      <w:r>
        <w:rPr>
          <w:rFonts w:ascii="Times New Roman" w:hAnsi="Times New Roman" w:eastAsia="方正仿宋_GBK" w:cs="方正仿宋_GBK"/>
          <w:kern w:val="0"/>
          <w:sz w:val="32"/>
          <w:szCs w:val="32"/>
          <w:shd w:val="clear" w:color="auto" w:fill="FFFFFF"/>
          <w:lang w:bidi="ar"/>
        </w:rPr>
        <w:t>月</w:t>
      </w:r>
      <w:r>
        <w:rPr>
          <w:rFonts w:hint="eastAsia" w:ascii="Times New Roman" w:hAnsi="Times New Roman" w:eastAsia="方正仿宋_GBK" w:cs="宋体"/>
          <w:kern w:val="0"/>
          <w:sz w:val="32"/>
          <w:szCs w:val="32"/>
          <w:shd w:val="clear" w:color="auto" w:fill="FFFFFF"/>
          <w:lang w:bidi="ar"/>
        </w:rPr>
        <w:t>20</w:t>
      </w:r>
      <w:r>
        <w:rPr>
          <w:rFonts w:ascii="Times New Roman" w:hAnsi="Times New Roman" w:eastAsia="方正仿宋_GBK" w:cs="方正仿宋_GBK"/>
          <w:kern w:val="0"/>
          <w:sz w:val="32"/>
          <w:szCs w:val="32"/>
          <w:shd w:val="clear" w:color="auto" w:fill="FFFFFF"/>
          <w:lang w:bidi="ar"/>
        </w:rPr>
        <w:t>日</w:t>
      </w:r>
    </w:p>
    <w:p>
      <w:pPr>
        <w:tabs>
          <w:tab w:val="left" w:pos="5852"/>
        </w:tabs>
        <w:spacing w:line="500" w:lineRule="exact"/>
        <w:rPr>
          <w:rFonts w:ascii="Times New Roman" w:hAnsi="Times New Roman" w:eastAsia="方正仿宋_GBK" w:cs="方正仿宋_GBK"/>
          <w:kern w:val="0"/>
          <w:sz w:val="32"/>
          <w:szCs w:val="32"/>
          <w:shd w:val="clear" w:color="auto" w:fill="FFFFFF"/>
          <w:lang w:bidi="ar"/>
        </w:rPr>
      </w:pPr>
    </w:p>
    <w:p>
      <w:pPr>
        <w:tabs>
          <w:tab w:val="left" w:pos="5852"/>
        </w:tabs>
        <w:spacing w:line="500" w:lineRule="exact"/>
        <w:rPr>
          <w:rFonts w:ascii="Times New Roman" w:hAnsi="Times New Roman" w:eastAsia="方正仿宋_GBK" w:cs="方正仿宋_GBK"/>
          <w:kern w:val="0"/>
          <w:sz w:val="32"/>
          <w:szCs w:val="32"/>
          <w:shd w:val="clear" w:color="auto" w:fill="FFFFFF"/>
          <w:lang w:bidi="ar"/>
        </w:rPr>
      </w:pPr>
    </w:p>
    <w:p>
      <w:pPr>
        <w:tabs>
          <w:tab w:val="left" w:pos="5852"/>
        </w:tabs>
        <w:spacing w:line="500" w:lineRule="exact"/>
        <w:rPr>
          <w:rFonts w:ascii="Times New Roman" w:hAnsi="Times New Roman" w:eastAsia="方正仿宋_GBK" w:cs="方正仿宋_GBK"/>
          <w:kern w:val="0"/>
          <w:sz w:val="32"/>
          <w:szCs w:val="32"/>
          <w:shd w:val="clear" w:color="auto" w:fill="FFFFFF"/>
          <w:lang w:bidi="ar"/>
        </w:rPr>
      </w:pPr>
    </w:p>
    <w:p>
      <w:pPr>
        <w:tabs>
          <w:tab w:val="left" w:pos="5852"/>
        </w:tabs>
        <w:spacing w:line="500" w:lineRule="exact"/>
        <w:rPr>
          <w:rFonts w:ascii="Times New Roman" w:hAnsi="Times New Roman" w:eastAsia="方正仿宋_GBK" w:cs="方正仿宋_GBK"/>
          <w:kern w:val="0"/>
          <w:sz w:val="32"/>
          <w:szCs w:val="32"/>
          <w:shd w:val="clear" w:color="auto" w:fill="FFFFFF"/>
          <w:lang w:bidi="ar"/>
        </w:rPr>
      </w:pPr>
    </w:p>
    <w:p>
      <w:pPr>
        <w:tabs>
          <w:tab w:val="left" w:pos="5852"/>
        </w:tabs>
        <w:spacing w:line="500" w:lineRule="exact"/>
        <w:rPr>
          <w:rFonts w:ascii="Times New Roman" w:hAnsi="Times New Roman" w:eastAsia="方正仿宋_GBK" w:cs="方正仿宋_GBK"/>
          <w:kern w:val="0"/>
          <w:sz w:val="32"/>
          <w:szCs w:val="32"/>
          <w:shd w:val="clear" w:color="auto" w:fill="FFFFFF"/>
          <w:lang w:bidi="ar"/>
        </w:rPr>
      </w:pPr>
    </w:p>
    <w:p>
      <w:pPr>
        <w:widowControl/>
        <w:spacing w:line="590" w:lineRule="exact"/>
        <w:rPr>
          <w:rFonts w:ascii="Times New Roman" w:hAnsi="Times New Roman" w:eastAsia="方正仿宋_GBK" w:cs="Times New Roman"/>
          <w:sz w:val="18"/>
          <w:szCs w:val="18"/>
        </w:rPr>
      </w:pPr>
    </w:p>
    <w:p>
      <w:pPr>
        <w:spacing w:line="590" w:lineRule="exact"/>
        <w:rPr>
          <w:rFonts w:ascii="Times New Roman" w:hAnsi="Times New Roman" w:eastAsia="方正小标宋_GBK" w:cs="方正小标宋_GBK"/>
          <w:sz w:val="44"/>
          <w:szCs w:val="44"/>
          <w:lang w:bidi="ar"/>
        </w:rPr>
      </w:pPr>
    </w:p>
    <w:p>
      <w:pPr>
        <w:spacing w:line="590" w:lineRule="exact"/>
        <w:jc w:val="center"/>
        <w:rPr>
          <w:rFonts w:ascii="Times New Roman" w:hAnsi="Times New Roman" w:eastAsia="方正小标宋_GBK" w:cs="方正小标宋_GBK"/>
          <w:sz w:val="44"/>
          <w:szCs w:val="44"/>
        </w:rPr>
      </w:pPr>
      <w:r>
        <w:rPr>
          <w:rFonts w:ascii="Times New Roman" w:hAnsi="Times New Roman" w:eastAsia="方正小标宋_GBK" w:cs="方正小标宋_GBK"/>
          <w:sz w:val="44"/>
          <w:szCs w:val="44"/>
          <w:lang w:bidi="ar"/>
        </w:rPr>
        <w:t>重庆市拟上市企业后备库管理办法</w:t>
      </w:r>
    </w:p>
    <w:p>
      <w:pPr>
        <w:spacing w:line="590" w:lineRule="exact"/>
        <w:ind w:firstLine="640"/>
        <w:jc w:val="center"/>
        <w:rPr>
          <w:rFonts w:ascii="Times New Roman" w:hAnsi="Times New Roman" w:eastAsia="方正楷体_GBK" w:cs="方正楷体_GBK"/>
          <w:sz w:val="32"/>
          <w:szCs w:val="32"/>
        </w:rPr>
      </w:pPr>
    </w:p>
    <w:p>
      <w:pPr>
        <w:spacing w:line="600" w:lineRule="exact"/>
        <w:jc w:val="center"/>
        <w:rPr>
          <w:rFonts w:ascii="Times New Roman" w:hAnsi="Times New Roman" w:eastAsia="方正黑体_GBK" w:cs="方正黑体_GBK"/>
          <w:sz w:val="32"/>
          <w:szCs w:val="32"/>
        </w:rPr>
      </w:pPr>
      <w:r>
        <w:rPr>
          <w:rFonts w:ascii="Times New Roman" w:hAnsi="Times New Roman" w:eastAsia="方正黑体_GBK" w:cs="方正黑体_GBK"/>
          <w:sz w:val="32"/>
          <w:szCs w:val="32"/>
          <w:lang w:bidi="ar"/>
        </w:rPr>
        <w:t>第一章</w:t>
      </w:r>
      <w:r>
        <w:rPr>
          <w:rFonts w:hint="eastAsia" w:ascii="Times New Roman" w:hAnsi="Times New Roman" w:eastAsia="方正黑体_GBK" w:cs="方正黑体_GBK"/>
          <w:sz w:val="32"/>
          <w:szCs w:val="32"/>
          <w:lang w:bidi="ar"/>
        </w:rPr>
        <w:t xml:space="preserve">  </w:t>
      </w:r>
      <w:r>
        <w:rPr>
          <w:rFonts w:ascii="Times New Roman" w:hAnsi="Times New Roman" w:eastAsia="方正黑体_GBK" w:cs="方正黑体_GBK"/>
          <w:sz w:val="32"/>
          <w:szCs w:val="32"/>
          <w:lang w:bidi="ar"/>
        </w:rPr>
        <w:t>总</w:t>
      </w:r>
      <w:r>
        <w:rPr>
          <w:rFonts w:hint="eastAsia" w:ascii="Times New Roman" w:hAnsi="Times New Roman" w:eastAsia="方正黑体_GBK" w:cs="方正黑体_GBK"/>
          <w:sz w:val="32"/>
          <w:szCs w:val="32"/>
          <w:lang w:bidi="ar"/>
        </w:rPr>
        <w:t xml:space="preserve"> </w:t>
      </w:r>
      <w:r>
        <w:rPr>
          <w:rFonts w:ascii="Times New Roman" w:hAnsi="Times New Roman" w:eastAsia="方正黑体_GBK" w:cs="方正黑体_GBK"/>
          <w:sz w:val="32"/>
          <w:szCs w:val="32"/>
          <w:lang w:bidi="ar"/>
        </w:rPr>
        <w:t>则</w:t>
      </w:r>
    </w:p>
    <w:p>
      <w:pPr>
        <w:spacing w:line="600" w:lineRule="exact"/>
        <w:ind w:firstLine="640" w:firstLineChars="200"/>
        <w:rPr>
          <w:rFonts w:ascii="Times New Roman" w:hAnsi="Times New Roman" w:eastAsia="方正仿宋_GBK" w:cs="方正仿宋_GBK"/>
          <w:sz w:val="32"/>
          <w:szCs w:val="32"/>
        </w:rPr>
      </w:pPr>
      <w:r>
        <w:rPr>
          <w:rFonts w:ascii="Times New Roman" w:hAnsi="Times New Roman" w:eastAsia="方正黑体_GBK" w:cs="方正黑体_GBK"/>
          <w:sz w:val="32"/>
          <w:szCs w:val="32"/>
          <w:lang w:bidi="ar"/>
        </w:rPr>
        <w:t>第一条</w:t>
      </w:r>
      <w:r>
        <w:rPr>
          <w:rFonts w:hint="eastAsia" w:ascii="Times New Roman" w:hAnsi="Times New Roman" w:eastAsia="方正黑体_GBK" w:cs="方正黑体_GBK"/>
          <w:sz w:val="32"/>
          <w:szCs w:val="32"/>
          <w:lang w:bidi="ar"/>
        </w:rPr>
        <w:t xml:space="preserve">  </w:t>
      </w:r>
      <w:r>
        <w:rPr>
          <w:rFonts w:ascii="Times New Roman" w:hAnsi="Times New Roman" w:eastAsia="方正仿宋_GBK" w:cs="方正仿宋_GBK"/>
          <w:sz w:val="32"/>
          <w:szCs w:val="32"/>
          <w:lang w:bidi="ar"/>
        </w:rPr>
        <w:t>为加快推进企业上市工作，优化企业入库流程，筛选出更多符合上市条件的入库企业，并对其进行重点服务和管理，特制定本办法。</w:t>
      </w:r>
    </w:p>
    <w:p>
      <w:pPr>
        <w:spacing w:line="600" w:lineRule="exact"/>
        <w:ind w:firstLine="640" w:firstLineChars="200"/>
        <w:rPr>
          <w:rFonts w:ascii="Times New Roman" w:hAnsi="Times New Roman" w:eastAsia="方正仿宋_GBK" w:cs="方正仿宋_GBK"/>
          <w:color w:val="000000"/>
          <w:sz w:val="32"/>
          <w:szCs w:val="32"/>
          <w:lang w:bidi="ar"/>
        </w:rPr>
      </w:pPr>
      <w:r>
        <w:rPr>
          <w:rFonts w:ascii="Times New Roman" w:hAnsi="Times New Roman" w:eastAsia="方正黑体_GBK" w:cs="方正黑体_GBK"/>
          <w:sz w:val="32"/>
          <w:szCs w:val="32"/>
          <w:lang w:bidi="ar"/>
        </w:rPr>
        <w:t>第二条</w:t>
      </w:r>
      <w:r>
        <w:rPr>
          <w:rFonts w:hint="eastAsia" w:ascii="Times New Roman" w:hAnsi="Times New Roman" w:eastAsia="方正黑体_GBK" w:cs="方正黑体_GBK"/>
          <w:sz w:val="32"/>
          <w:szCs w:val="32"/>
          <w:lang w:bidi="ar"/>
        </w:rPr>
        <w:t xml:space="preserve">  </w:t>
      </w:r>
      <w:r>
        <w:rPr>
          <w:rFonts w:hint="eastAsia" w:ascii="Times New Roman" w:hAnsi="方正仿宋_GBK" w:eastAsia="方正仿宋_GBK" w:cs="方正仿宋_GBK"/>
          <w:sz w:val="32"/>
          <w:szCs w:val="32"/>
          <w:lang w:bidi="ar"/>
        </w:rPr>
        <w:t>重庆市地方金融监督管理局（以下简称市金融监管局）会同各市级部门（单位），各区县（自治县）政府和两江新区、西部科学城重庆高新区、万盛经开区管委会（以下统称各区县政府），共同建立市级统一的拟上市企业后备库。有关</w:t>
      </w:r>
      <w:r>
        <w:rPr>
          <w:rFonts w:hint="eastAsia" w:ascii="Times New Roman" w:hAnsi="方正仿宋_GBK" w:eastAsia="方正仿宋_GBK" w:cs="方正仿宋_GBK"/>
          <w:color w:val="000000"/>
          <w:sz w:val="32"/>
          <w:szCs w:val="32"/>
          <w:lang w:bidi="ar"/>
        </w:rPr>
        <w:t>行业主管部门根据</w:t>
      </w:r>
      <w:r>
        <w:rPr>
          <w:rFonts w:hint="eastAsia" w:ascii="Times New Roman" w:hAnsi="Times New Roman" w:eastAsia="方正仿宋_GBK" w:cs="方正仿宋_GBK"/>
          <w:color w:val="000000"/>
          <w:sz w:val="32"/>
          <w:szCs w:val="32"/>
          <w:lang w:bidi="ar"/>
        </w:rPr>
        <w:t>“</w:t>
      </w:r>
      <w:r>
        <w:rPr>
          <w:rFonts w:hint="eastAsia" w:ascii="Times New Roman" w:hAnsi="方正仿宋_GBK" w:eastAsia="方正仿宋_GBK" w:cs="方正仿宋_GBK"/>
          <w:color w:val="000000"/>
          <w:sz w:val="32"/>
          <w:szCs w:val="32"/>
          <w:lang w:bidi="ar"/>
        </w:rPr>
        <w:t>管行业也要管上市</w:t>
      </w:r>
      <w:r>
        <w:rPr>
          <w:rFonts w:hint="eastAsia" w:ascii="Times New Roman" w:hAnsi="Times New Roman" w:eastAsia="方正仿宋_GBK" w:cs="方正仿宋_GBK"/>
          <w:color w:val="000000"/>
          <w:sz w:val="32"/>
          <w:szCs w:val="32"/>
          <w:lang w:bidi="ar"/>
        </w:rPr>
        <w:t>”</w:t>
      </w:r>
      <w:r>
        <w:rPr>
          <w:rFonts w:hint="eastAsia" w:ascii="Times New Roman" w:hAnsi="方正仿宋_GBK" w:eastAsia="方正仿宋_GBK" w:cs="方正仿宋_GBK"/>
          <w:color w:val="000000"/>
          <w:sz w:val="32"/>
          <w:szCs w:val="32"/>
          <w:lang w:bidi="ar"/>
        </w:rPr>
        <w:t>原则，按行业设立子库，分行业分板块进行分类培育、信息共享</w:t>
      </w:r>
      <w:r>
        <w:rPr>
          <w:rFonts w:ascii="Times New Roman" w:hAnsi="Times New Roman" w:eastAsia="方正仿宋_GBK" w:cs="方正仿宋_GBK"/>
          <w:color w:val="000000"/>
          <w:sz w:val="32"/>
          <w:szCs w:val="32"/>
          <w:lang w:bidi="ar"/>
        </w:rPr>
        <w:t>。</w:t>
      </w:r>
    </w:p>
    <w:p>
      <w:pPr>
        <w:spacing w:line="600" w:lineRule="exact"/>
        <w:ind w:firstLine="640" w:firstLineChars="200"/>
        <w:rPr>
          <w:rFonts w:ascii="Times New Roman" w:hAnsi="Times New Roman" w:eastAsia="方正仿宋_GBK" w:cs="方正仿宋_GBK"/>
          <w:color w:val="000000"/>
          <w:sz w:val="32"/>
          <w:szCs w:val="32"/>
        </w:rPr>
      </w:pPr>
    </w:p>
    <w:p>
      <w:pPr>
        <w:spacing w:line="600" w:lineRule="exact"/>
        <w:jc w:val="center"/>
        <w:rPr>
          <w:rFonts w:ascii="Times New Roman" w:hAnsi="Times New Roman" w:eastAsia="方正黑体_GBK" w:cs="方正黑体_GBK"/>
          <w:sz w:val="32"/>
          <w:szCs w:val="32"/>
        </w:rPr>
      </w:pPr>
      <w:r>
        <w:rPr>
          <w:rFonts w:ascii="Times New Roman" w:hAnsi="Times New Roman" w:eastAsia="方正黑体_GBK" w:cs="方正黑体_GBK"/>
          <w:sz w:val="32"/>
          <w:szCs w:val="32"/>
          <w:lang w:bidi="ar"/>
        </w:rPr>
        <w:t>第二章</w:t>
      </w:r>
      <w:r>
        <w:rPr>
          <w:rFonts w:hint="eastAsia" w:ascii="Times New Roman" w:hAnsi="Times New Roman" w:eastAsia="方正黑体_GBK" w:cs="方正黑体_GBK"/>
          <w:sz w:val="32"/>
          <w:szCs w:val="32"/>
          <w:lang w:bidi="ar"/>
        </w:rPr>
        <w:t xml:space="preserve">  </w:t>
      </w:r>
      <w:r>
        <w:rPr>
          <w:rFonts w:ascii="Times New Roman" w:hAnsi="Times New Roman" w:eastAsia="方正黑体_GBK" w:cs="方正黑体_GBK"/>
          <w:sz w:val="32"/>
          <w:szCs w:val="32"/>
          <w:lang w:bidi="ar"/>
        </w:rPr>
        <w:t>申</w:t>
      </w:r>
      <w:r>
        <w:rPr>
          <w:rFonts w:hint="eastAsia" w:ascii="Times New Roman" w:hAnsi="Times New Roman" w:eastAsia="方正黑体_GBK" w:cs="方正黑体_GBK"/>
          <w:sz w:val="32"/>
          <w:szCs w:val="32"/>
          <w:lang w:bidi="ar"/>
        </w:rPr>
        <w:t xml:space="preserve"> </w:t>
      </w:r>
      <w:r>
        <w:rPr>
          <w:rFonts w:ascii="Times New Roman" w:hAnsi="Times New Roman" w:eastAsia="方正黑体_GBK" w:cs="方正黑体_GBK"/>
          <w:sz w:val="32"/>
          <w:szCs w:val="32"/>
          <w:lang w:bidi="ar"/>
        </w:rPr>
        <w:t>请</w:t>
      </w:r>
    </w:p>
    <w:p>
      <w:pPr>
        <w:spacing w:line="600" w:lineRule="exact"/>
        <w:ind w:firstLine="640" w:firstLineChars="200"/>
        <w:rPr>
          <w:rFonts w:ascii="Times New Roman" w:hAnsi="Times New Roman" w:eastAsia="方正仿宋_GBK" w:cs="方正仿宋_GBK"/>
          <w:sz w:val="32"/>
          <w:szCs w:val="32"/>
        </w:rPr>
      </w:pPr>
      <w:r>
        <w:rPr>
          <w:rFonts w:ascii="Times New Roman" w:hAnsi="Times New Roman" w:eastAsia="方正黑体_GBK" w:cs="方正黑体_GBK"/>
          <w:sz w:val="32"/>
          <w:szCs w:val="32"/>
          <w:lang w:bidi="ar"/>
        </w:rPr>
        <w:t>第三条</w:t>
      </w:r>
      <w:r>
        <w:rPr>
          <w:rFonts w:hint="eastAsia" w:ascii="Times New Roman" w:hAnsi="Times New Roman" w:eastAsia="方正黑体_GBK" w:cs="方正黑体_GBK"/>
          <w:sz w:val="32"/>
          <w:szCs w:val="32"/>
          <w:lang w:bidi="ar"/>
        </w:rPr>
        <w:t xml:space="preserve">  </w:t>
      </w:r>
      <w:r>
        <w:rPr>
          <w:rFonts w:ascii="Times New Roman" w:hAnsi="Times New Roman" w:eastAsia="方正仿宋_GBK" w:cs="方正仿宋_GBK"/>
          <w:sz w:val="32"/>
          <w:szCs w:val="32"/>
          <w:lang w:bidi="ar"/>
        </w:rPr>
        <w:t>企业申请进入市级拟上市企业后备库的，应当具备以下条件：</w:t>
      </w:r>
    </w:p>
    <w:p>
      <w:pPr>
        <w:spacing w:line="600" w:lineRule="exact"/>
        <w:ind w:firstLine="640"/>
        <w:rPr>
          <w:rFonts w:ascii="Times New Roman" w:hAnsi="Times New Roman" w:eastAsia="方正仿宋_GBK" w:cs="Times New Roman"/>
          <w:sz w:val="32"/>
          <w:szCs w:val="32"/>
        </w:rPr>
      </w:pPr>
      <w:r>
        <w:rPr>
          <w:rFonts w:ascii="Times New Roman" w:hAnsi="Times New Roman" w:eastAsia="方正仿宋_GBK" w:cs="方正仿宋_GBK"/>
          <w:sz w:val="32"/>
          <w:szCs w:val="32"/>
          <w:lang w:bidi="ar"/>
        </w:rPr>
        <w:t>（一）注册在重庆市境内，且经市场监管部门登记注册满两年以上的股份有限公司或有限责任公司。</w:t>
      </w:r>
    </w:p>
    <w:p>
      <w:pPr>
        <w:spacing w:line="60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lang w:bidi="ar"/>
        </w:rPr>
        <w:t>（二）符合国家产业政策且上市意愿明确。</w:t>
      </w:r>
    </w:p>
    <w:p>
      <w:pPr>
        <w:spacing w:line="60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lang w:bidi="ar"/>
        </w:rPr>
        <w:t>（三）最近一年扣非净利润不低于300万元，或者最近两年营业收入平均不低于3000万元。满足科创板和创业板属性定位的企业，可适当降低标准。</w:t>
      </w:r>
    </w:p>
    <w:p>
      <w:pPr>
        <w:spacing w:line="60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lang w:bidi="ar"/>
        </w:rPr>
        <w:t>（四）生产经营依法合规，近一年未被列入经营异常名录，近三年未被列入严重违法失信企业名单（黑名单），无未了结的重大被诉案件和被执行案件。</w:t>
      </w:r>
    </w:p>
    <w:p>
      <w:pPr>
        <w:spacing w:line="60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lang w:bidi="ar"/>
        </w:rPr>
        <w:t>（五）</w:t>
      </w:r>
      <w:r>
        <w:rPr>
          <w:rFonts w:hint="eastAsia" w:ascii="Times New Roman" w:hAnsi="方正仿宋_GBK" w:eastAsia="方正仿宋_GBK" w:cs="方正仿宋_GBK"/>
          <w:sz w:val="32"/>
          <w:szCs w:val="32"/>
          <w:lang w:bidi="ar"/>
        </w:rPr>
        <w:t>国家级</w:t>
      </w:r>
      <w:r>
        <w:rPr>
          <w:rFonts w:hint="eastAsia" w:ascii="Times New Roman" w:hAnsi="Times New Roman" w:eastAsia="方正仿宋_GBK" w:cs="方正仿宋_GBK"/>
          <w:sz w:val="32"/>
          <w:szCs w:val="32"/>
          <w:lang w:bidi="ar"/>
        </w:rPr>
        <w:t>“</w:t>
      </w:r>
      <w:r>
        <w:rPr>
          <w:rFonts w:hint="eastAsia" w:ascii="Times New Roman" w:hAnsi="方正仿宋_GBK" w:eastAsia="方正仿宋_GBK" w:cs="方正仿宋_GBK"/>
          <w:sz w:val="32"/>
          <w:szCs w:val="32"/>
          <w:lang w:bidi="ar"/>
        </w:rPr>
        <w:t>专精特新</w:t>
      </w:r>
      <w:r>
        <w:rPr>
          <w:rFonts w:hint="eastAsia" w:ascii="Times New Roman" w:hAnsi="Times New Roman" w:eastAsia="方正仿宋_GBK" w:cs="方正仿宋_GBK"/>
          <w:sz w:val="32"/>
          <w:szCs w:val="32"/>
          <w:lang w:bidi="ar"/>
        </w:rPr>
        <w:t>”</w:t>
      </w:r>
      <w:r>
        <w:rPr>
          <w:rFonts w:hint="eastAsia" w:ascii="Times New Roman" w:hAnsi="方正仿宋_GBK" w:eastAsia="方正仿宋_GBK" w:cs="方正仿宋_GBK"/>
          <w:sz w:val="32"/>
          <w:szCs w:val="32"/>
          <w:lang w:bidi="ar"/>
        </w:rPr>
        <w:t>企业、有效期内高新技术企业，或者已改制为股份公司的企业，或者有私募股权基金投资的、符合券商立项标准的企业，同等条件下优先入库。</w:t>
      </w:r>
    </w:p>
    <w:p>
      <w:pPr>
        <w:spacing w:line="600" w:lineRule="exact"/>
        <w:ind w:firstLine="640" w:firstLineChars="200"/>
        <w:rPr>
          <w:rFonts w:ascii="Times New Roman" w:hAnsi="Times New Roman" w:eastAsia="方正仿宋_GBK" w:cs="方正仿宋_GBK"/>
          <w:sz w:val="32"/>
          <w:szCs w:val="32"/>
        </w:rPr>
      </w:pPr>
      <w:r>
        <w:rPr>
          <w:rFonts w:ascii="Times New Roman" w:hAnsi="Times New Roman" w:eastAsia="方正黑体_GBK" w:cs="方正黑体_GBK"/>
          <w:sz w:val="32"/>
          <w:szCs w:val="32"/>
          <w:lang w:bidi="ar"/>
        </w:rPr>
        <w:t>第四条</w:t>
      </w:r>
      <w:r>
        <w:rPr>
          <w:rFonts w:hint="eastAsia" w:ascii="Times New Roman" w:hAnsi="Times New Roman" w:eastAsia="方正黑体_GBK" w:cs="方正黑体_GBK"/>
          <w:sz w:val="32"/>
          <w:szCs w:val="32"/>
          <w:lang w:bidi="ar"/>
        </w:rPr>
        <w:t xml:space="preserve">  </w:t>
      </w:r>
      <w:r>
        <w:rPr>
          <w:rFonts w:hint="eastAsia" w:ascii="Times New Roman" w:hAnsi="方正仿宋_GBK" w:eastAsia="方正仿宋_GBK" w:cs="方正仿宋_GBK"/>
          <w:sz w:val="32"/>
          <w:szCs w:val="32"/>
          <w:lang w:bidi="ar"/>
        </w:rPr>
        <w:t>由企业自愿登录</w:t>
      </w:r>
      <w:r>
        <w:rPr>
          <w:rFonts w:hint="eastAsia" w:ascii="Times New Roman" w:hAnsi="Times New Roman" w:eastAsia="方正仿宋_GBK" w:cs="方正仿宋_GBK"/>
          <w:sz w:val="32"/>
          <w:szCs w:val="32"/>
          <w:lang w:bidi="ar"/>
        </w:rPr>
        <w:t>“</w:t>
      </w:r>
      <w:r>
        <w:rPr>
          <w:rFonts w:hint="eastAsia" w:ascii="Times New Roman" w:hAnsi="方正仿宋_GBK" w:eastAsia="方正仿宋_GBK" w:cs="方正仿宋_GBK"/>
          <w:sz w:val="32"/>
          <w:szCs w:val="32"/>
          <w:lang w:bidi="ar"/>
        </w:rPr>
        <w:t>科创资本通平台</w:t>
      </w:r>
      <w:r>
        <w:rPr>
          <w:rFonts w:hint="eastAsia" w:ascii="Times New Roman" w:hAnsi="Times New Roman" w:eastAsia="方正仿宋_GBK" w:cs="方正仿宋_GBK"/>
          <w:sz w:val="32"/>
          <w:szCs w:val="32"/>
          <w:lang w:bidi="ar"/>
        </w:rPr>
        <w:t>”</w:t>
      </w:r>
      <w:r>
        <w:rPr>
          <w:rFonts w:hint="eastAsia" w:ascii="Times New Roman" w:hAnsi="方正仿宋_GBK" w:eastAsia="方正仿宋_GBK" w:cs="方正仿宋_GBK"/>
          <w:sz w:val="32"/>
          <w:szCs w:val="32"/>
          <w:lang w:bidi="ar"/>
        </w:rPr>
        <w:t>（网址：</w:t>
      </w:r>
      <w:r>
        <w:rPr>
          <w:rFonts w:hint="eastAsia" w:ascii="Times New Roman" w:hAnsi="Times New Roman" w:eastAsia="方正仿宋_GBK" w:cs="宋体"/>
          <w:kern w:val="0"/>
          <w:sz w:val="32"/>
          <w:szCs w:val="32"/>
          <w:shd w:val="clear" w:color="auto" w:fill="FFFFFF"/>
          <w:lang w:bidi="ar"/>
        </w:rPr>
        <w:t>https://www.tech-capital.cn</w:t>
      </w:r>
      <w:r>
        <w:rPr>
          <w:rFonts w:hint="eastAsia" w:ascii="Times New Roman" w:hAnsi="方正仿宋_GBK" w:eastAsia="方正仿宋_GBK" w:cs="方正仿宋_GBK"/>
          <w:color w:val="000000"/>
          <w:sz w:val="32"/>
          <w:szCs w:val="32"/>
          <w:lang w:bidi="ar"/>
        </w:rPr>
        <w:t>）</w:t>
      </w:r>
      <w:r>
        <w:rPr>
          <w:rFonts w:hint="eastAsia" w:ascii="Times New Roman" w:hAnsi="方正仿宋_GBK" w:eastAsia="方正仿宋_GBK" w:cs="方正仿宋_GBK"/>
          <w:sz w:val="32"/>
          <w:szCs w:val="32"/>
          <w:lang w:bidi="ar"/>
        </w:rPr>
        <w:t>，提供相关佐证材料，区县金融工作管理部门初审后出具推荐意见。市级部门（单位）、相关金融机构推荐的企业，也可通过系统在线提交申请材料</w:t>
      </w:r>
      <w:r>
        <w:rPr>
          <w:rFonts w:ascii="Times New Roman" w:hAnsi="Times New Roman" w:eastAsia="方正仿宋_GBK" w:cs="方正仿宋_GBK"/>
          <w:sz w:val="32"/>
          <w:szCs w:val="32"/>
          <w:lang w:bidi="ar"/>
        </w:rPr>
        <w:t>。</w:t>
      </w:r>
    </w:p>
    <w:p>
      <w:pPr>
        <w:spacing w:line="600" w:lineRule="exact"/>
        <w:ind w:firstLine="640" w:firstLineChars="200"/>
        <w:rPr>
          <w:rFonts w:ascii="Times New Roman" w:hAnsi="Times New Roman" w:eastAsia="方正仿宋_GBK" w:cs="方正仿宋_GBK"/>
          <w:sz w:val="32"/>
          <w:szCs w:val="32"/>
          <w:lang w:bidi="ar"/>
        </w:rPr>
      </w:pPr>
      <w:r>
        <w:rPr>
          <w:rFonts w:ascii="Times New Roman" w:hAnsi="Times New Roman" w:eastAsia="方正黑体_GBK" w:cs="方正黑体_GBK"/>
          <w:sz w:val="32"/>
          <w:szCs w:val="32"/>
          <w:lang w:bidi="ar"/>
        </w:rPr>
        <w:t>第五条</w:t>
      </w:r>
      <w:r>
        <w:rPr>
          <w:rFonts w:hint="eastAsia" w:ascii="Times New Roman" w:hAnsi="Times New Roman" w:eastAsia="方正黑体_GBK" w:cs="方正黑体_GBK"/>
          <w:sz w:val="32"/>
          <w:szCs w:val="32"/>
          <w:lang w:bidi="ar"/>
        </w:rPr>
        <w:t xml:space="preserve">  </w:t>
      </w:r>
      <w:r>
        <w:rPr>
          <w:rFonts w:ascii="Times New Roman" w:hAnsi="Times New Roman" w:eastAsia="方正仿宋_GBK" w:cs="方正仿宋_GBK"/>
          <w:sz w:val="32"/>
          <w:szCs w:val="32"/>
          <w:lang w:bidi="ar"/>
        </w:rPr>
        <w:t>建立专家评审机制，成立专家评审委员会，每年组织专家对申请入库的企业进行评审并出具入库意见。市金融监管局参考专家意见面向社会公示后，确定当年度市级拟上市企业后备库入库企业名单。</w:t>
      </w:r>
    </w:p>
    <w:p>
      <w:pPr>
        <w:spacing w:line="600" w:lineRule="exact"/>
        <w:ind w:firstLine="640" w:firstLineChars="200"/>
        <w:rPr>
          <w:rFonts w:ascii="Times New Roman" w:hAnsi="Times New Roman" w:eastAsia="方正仿宋_GBK" w:cs="方正仿宋_GBK"/>
          <w:sz w:val="32"/>
          <w:szCs w:val="32"/>
        </w:rPr>
      </w:pPr>
    </w:p>
    <w:p>
      <w:pPr>
        <w:spacing w:line="600" w:lineRule="exact"/>
        <w:jc w:val="center"/>
        <w:rPr>
          <w:rFonts w:ascii="Times New Roman" w:hAnsi="Times New Roman" w:eastAsia="方正黑体_GBK" w:cs="方正黑体_GBK"/>
          <w:sz w:val="32"/>
          <w:szCs w:val="32"/>
        </w:rPr>
      </w:pPr>
      <w:r>
        <w:rPr>
          <w:rFonts w:ascii="Times New Roman" w:hAnsi="Times New Roman" w:eastAsia="方正黑体_GBK" w:cs="方正黑体_GBK"/>
          <w:sz w:val="32"/>
          <w:szCs w:val="32"/>
          <w:lang w:bidi="ar"/>
        </w:rPr>
        <w:t>第三章</w:t>
      </w:r>
      <w:r>
        <w:rPr>
          <w:rFonts w:hint="eastAsia" w:ascii="Times New Roman" w:hAnsi="Times New Roman" w:eastAsia="方正黑体_GBK" w:cs="方正黑体_GBK"/>
          <w:sz w:val="32"/>
          <w:szCs w:val="32"/>
          <w:lang w:bidi="ar"/>
        </w:rPr>
        <w:t xml:space="preserve">  </w:t>
      </w:r>
      <w:r>
        <w:rPr>
          <w:rFonts w:ascii="Times New Roman" w:hAnsi="Times New Roman" w:eastAsia="方正黑体_GBK" w:cs="方正黑体_GBK"/>
          <w:sz w:val="32"/>
          <w:szCs w:val="32"/>
          <w:lang w:bidi="ar"/>
        </w:rPr>
        <w:t>服</w:t>
      </w:r>
      <w:r>
        <w:rPr>
          <w:rFonts w:hint="eastAsia" w:ascii="Times New Roman" w:hAnsi="Times New Roman" w:eastAsia="方正黑体_GBK" w:cs="方正黑体_GBK"/>
          <w:sz w:val="32"/>
          <w:szCs w:val="32"/>
          <w:lang w:bidi="ar"/>
        </w:rPr>
        <w:t xml:space="preserve"> </w:t>
      </w:r>
      <w:r>
        <w:rPr>
          <w:rFonts w:ascii="Times New Roman" w:hAnsi="Times New Roman" w:eastAsia="方正黑体_GBK" w:cs="方正黑体_GBK"/>
          <w:sz w:val="32"/>
          <w:szCs w:val="32"/>
          <w:lang w:bidi="ar"/>
        </w:rPr>
        <w:t>务</w:t>
      </w:r>
    </w:p>
    <w:p>
      <w:pPr>
        <w:spacing w:line="600" w:lineRule="exact"/>
        <w:ind w:firstLine="640" w:firstLineChars="200"/>
        <w:rPr>
          <w:rFonts w:ascii="Times New Roman" w:hAnsi="Times New Roman" w:eastAsia="方正仿宋_GBK" w:cs="方正仿宋_GBK"/>
          <w:sz w:val="32"/>
          <w:szCs w:val="32"/>
        </w:rPr>
      </w:pPr>
      <w:r>
        <w:rPr>
          <w:rFonts w:ascii="Times New Roman" w:hAnsi="Times New Roman" w:eastAsia="方正黑体_GBK" w:cs="方正黑体_GBK"/>
          <w:sz w:val="32"/>
          <w:szCs w:val="32"/>
          <w:lang w:bidi="ar"/>
        </w:rPr>
        <w:t>第六条</w:t>
      </w:r>
      <w:r>
        <w:rPr>
          <w:rFonts w:hint="eastAsia" w:ascii="Times New Roman" w:hAnsi="Times New Roman" w:eastAsia="方正黑体_GBK" w:cs="方正黑体_GBK"/>
          <w:sz w:val="32"/>
          <w:szCs w:val="32"/>
          <w:lang w:bidi="ar"/>
        </w:rPr>
        <w:t xml:space="preserve">  </w:t>
      </w:r>
      <w:r>
        <w:rPr>
          <w:rFonts w:ascii="Times New Roman" w:hAnsi="Times New Roman" w:eastAsia="方正仿宋_GBK" w:cs="方正仿宋_GBK"/>
          <w:sz w:val="32"/>
          <w:szCs w:val="32"/>
          <w:lang w:bidi="ar"/>
        </w:rPr>
        <w:t>入库企业</w:t>
      </w:r>
      <w:r>
        <w:rPr>
          <w:rFonts w:ascii="Times New Roman" w:hAnsi="Times New Roman" w:eastAsia="方正仿宋_GBK" w:cs="方正仿宋_GBK"/>
          <w:color w:val="000000"/>
          <w:sz w:val="32"/>
          <w:szCs w:val="32"/>
          <w:lang w:bidi="ar"/>
        </w:rPr>
        <w:t>可根据上市进度，提供相关佐证材料，向财政部门申请上市奖补</w:t>
      </w:r>
      <w:r>
        <w:rPr>
          <w:rFonts w:ascii="Times New Roman" w:hAnsi="Times New Roman" w:eastAsia="方正仿宋_GBK" w:cs="方正仿宋_GBK"/>
          <w:sz w:val="32"/>
          <w:szCs w:val="32"/>
          <w:lang w:bidi="ar"/>
        </w:rPr>
        <w:t>。</w:t>
      </w:r>
    </w:p>
    <w:p>
      <w:pPr>
        <w:spacing w:line="600" w:lineRule="exact"/>
        <w:ind w:firstLine="640" w:firstLineChars="200"/>
        <w:rPr>
          <w:rFonts w:ascii="Times New Roman" w:hAnsi="Times New Roman" w:eastAsia="方正仿宋_GBK" w:cs="方正仿宋_GBK"/>
          <w:sz w:val="32"/>
          <w:szCs w:val="32"/>
        </w:rPr>
      </w:pPr>
      <w:r>
        <w:rPr>
          <w:rFonts w:ascii="Times New Roman" w:hAnsi="Times New Roman" w:eastAsia="方正黑体_GBK" w:cs="方正黑体_GBK"/>
          <w:sz w:val="32"/>
          <w:szCs w:val="32"/>
          <w:lang w:bidi="ar"/>
        </w:rPr>
        <w:t>第七条</w:t>
      </w:r>
      <w:r>
        <w:rPr>
          <w:rFonts w:hint="eastAsia" w:ascii="Times New Roman" w:hAnsi="Times New Roman" w:eastAsia="方正黑体_GBK" w:cs="方正黑体_GBK"/>
          <w:sz w:val="32"/>
          <w:szCs w:val="32"/>
          <w:lang w:bidi="ar"/>
        </w:rPr>
        <w:t xml:space="preserve">  </w:t>
      </w:r>
      <w:r>
        <w:rPr>
          <w:rFonts w:hint="eastAsia" w:ascii="Times New Roman" w:hAnsi="方正仿宋_GBK" w:eastAsia="方正仿宋_GBK" w:cs="方正仿宋_GBK"/>
          <w:sz w:val="32"/>
          <w:szCs w:val="32"/>
          <w:lang w:bidi="ar"/>
        </w:rPr>
        <w:t>市金融监管局将入库企业推送至相关金融机构，鼓励金融机构为入库企业提供个性化综合融资服务。支持</w:t>
      </w:r>
      <w:r>
        <w:rPr>
          <w:rFonts w:hint="eastAsia" w:ascii="Times New Roman" w:hAnsi="Times New Roman" w:eastAsia="方正仿宋_GBK" w:cs="方正仿宋_GBK"/>
          <w:sz w:val="32"/>
          <w:szCs w:val="32"/>
          <w:lang w:bidi="ar"/>
        </w:rPr>
        <w:t>“</w:t>
      </w:r>
      <w:r>
        <w:rPr>
          <w:rFonts w:hint="eastAsia" w:ascii="Times New Roman" w:hAnsi="方正仿宋_GBK" w:eastAsia="方正仿宋_GBK" w:cs="方正仿宋_GBK"/>
          <w:sz w:val="32"/>
          <w:szCs w:val="32"/>
          <w:lang w:bidi="ar"/>
        </w:rPr>
        <w:t>上市贷</w:t>
      </w:r>
      <w:r>
        <w:rPr>
          <w:rFonts w:hint="eastAsia" w:ascii="Times New Roman" w:hAnsi="Times New Roman" w:eastAsia="方正仿宋_GBK" w:cs="方正仿宋_GBK"/>
          <w:sz w:val="32"/>
          <w:szCs w:val="32"/>
          <w:lang w:bidi="ar"/>
        </w:rPr>
        <w:t>”“</w:t>
      </w:r>
      <w:r>
        <w:rPr>
          <w:rFonts w:hint="eastAsia" w:ascii="Times New Roman" w:hAnsi="方正仿宋_GBK" w:eastAsia="方正仿宋_GBK" w:cs="方正仿宋_GBK"/>
          <w:sz w:val="32"/>
          <w:szCs w:val="32"/>
          <w:lang w:bidi="ar"/>
        </w:rPr>
        <w:t>知识价值贷</w:t>
      </w:r>
      <w:r>
        <w:rPr>
          <w:rFonts w:hint="eastAsia" w:ascii="Times New Roman" w:hAnsi="Times New Roman" w:eastAsia="方正仿宋_GBK" w:cs="方正仿宋_GBK"/>
          <w:sz w:val="32"/>
          <w:szCs w:val="32"/>
          <w:lang w:bidi="ar"/>
        </w:rPr>
        <w:t>”“</w:t>
      </w:r>
      <w:r>
        <w:rPr>
          <w:rFonts w:hint="eastAsia" w:ascii="Times New Roman" w:hAnsi="方正仿宋_GBK" w:eastAsia="方正仿宋_GBK" w:cs="方正仿宋_GBK"/>
          <w:sz w:val="32"/>
          <w:szCs w:val="32"/>
          <w:lang w:bidi="ar"/>
        </w:rPr>
        <w:t>信用价值贷</w:t>
      </w:r>
      <w:r>
        <w:rPr>
          <w:rFonts w:hint="eastAsia" w:ascii="Times New Roman" w:hAnsi="Times New Roman" w:eastAsia="方正仿宋_GBK" w:cs="方正仿宋_GBK"/>
          <w:sz w:val="32"/>
          <w:szCs w:val="32"/>
          <w:lang w:bidi="ar"/>
        </w:rPr>
        <w:t>”</w:t>
      </w:r>
      <w:r>
        <w:rPr>
          <w:rFonts w:hint="eastAsia" w:ascii="Times New Roman" w:hAnsi="方正仿宋_GBK" w:eastAsia="方正仿宋_GBK" w:cs="方正仿宋_GBK"/>
          <w:sz w:val="32"/>
          <w:szCs w:val="32"/>
          <w:lang w:bidi="ar"/>
        </w:rPr>
        <w:t>等金融产品向符合条件的入库企业倾斜，降低融资成本</w:t>
      </w:r>
      <w:r>
        <w:rPr>
          <w:rFonts w:ascii="Times New Roman" w:hAnsi="Times New Roman" w:eastAsia="方正仿宋_GBK" w:cs="方正仿宋_GBK"/>
          <w:sz w:val="32"/>
          <w:szCs w:val="32"/>
          <w:lang w:bidi="ar"/>
        </w:rPr>
        <w:t>。</w:t>
      </w:r>
    </w:p>
    <w:p>
      <w:pPr>
        <w:spacing w:line="600" w:lineRule="exact"/>
        <w:ind w:firstLine="640" w:firstLineChars="200"/>
        <w:rPr>
          <w:rFonts w:ascii="Times New Roman" w:hAnsi="Times New Roman" w:eastAsia="方正仿宋_GBK" w:cs="方正仿宋_GBK"/>
          <w:sz w:val="32"/>
          <w:szCs w:val="32"/>
        </w:rPr>
      </w:pPr>
      <w:r>
        <w:rPr>
          <w:rFonts w:ascii="Times New Roman" w:hAnsi="Times New Roman" w:eastAsia="方正黑体_GBK" w:cs="方正黑体_GBK"/>
          <w:sz w:val="32"/>
          <w:szCs w:val="32"/>
          <w:lang w:bidi="ar"/>
        </w:rPr>
        <w:t>第八条</w:t>
      </w:r>
      <w:r>
        <w:rPr>
          <w:rFonts w:hint="eastAsia" w:ascii="Times New Roman" w:hAnsi="Times New Roman" w:eastAsia="方正黑体_GBK" w:cs="方正黑体_GBK"/>
          <w:sz w:val="32"/>
          <w:szCs w:val="32"/>
          <w:lang w:bidi="ar"/>
        </w:rPr>
        <w:t xml:space="preserve">  </w:t>
      </w:r>
      <w:r>
        <w:rPr>
          <w:rFonts w:ascii="Times New Roman" w:hAnsi="Times New Roman" w:eastAsia="方正仿宋_GBK" w:cs="方正仿宋_GBK"/>
          <w:sz w:val="32"/>
          <w:szCs w:val="32"/>
          <w:lang w:bidi="ar"/>
        </w:rPr>
        <w:t>各行业主管部门要按照市政府工作部署制定出台支持入库企业的具体政策，</w:t>
      </w:r>
      <w:r>
        <w:rPr>
          <w:rFonts w:ascii="Times New Roman" w:hAnsi="Times New Roman" w:eastAsia="方正仿宋_GBK" w:cs="方正仿宋_GBK"/>
          <w:color w:val="000000"/>
          <w:sz w:val="32"/>
          <w:szCs w:val="32"/>
          <w:lang w:bidi="ar"/>
        </w:rPr>
        <w:t>在土地、专利申请、水电油气、劳动力等生产要素保障，优先推荐评选“专精特新”企业、推荐评选科学技术奖项、推荐认定高新技术企业，以及科研项目资助等方面给予倾斜。依法依规支持入库企业申报各级政府重点项目和参与政府采购</w:t>
      </w:r>
      <w:r>
        <w:rPr>
          <w:rFonts w:ascii="Times New Roman" w:hAnsi="Times New Roman" w:eastAsia="方正仿宋_GBK" w:cs="方正仿宋_GBK"/>
          <w:sz w:val="32"/>
          <w:szCs w:val="32"/>
          <w:lang w:bidi="ar"/>
        </w:rPr>
        <w:t>。</w:t>
      </w:r>
    </w:p>
    <w:p>
      <w:pPr>
        <w:spacing w:line="600" w:lineRule="exact"/>
        <w:ind w:firstLine="640"/>
        <w:rPr>
          <w:rFonts w:ascii="Times New Roman" w:hAnsi="Times New Roman" w:eastAsia="等线" w:cs="Times New Roman"/>
          <w:sz w:val="32"/>
          <w:szCs w:val="32"/>
        </w:rPr>
      </w:pPr>
      <w:r>
        <w:rPr>
          <w:rFonts w:ascii="Times New Roman" w:hAnsi="Times New Roman" w:eastAsia="方正黑体_GBK" w:cs="方正黑体_GBK"/>
          <w:sz w:val="32"/>
          <w:szCs w:val="32"/>
          <w:lang w:bidi="ar"/>
        </w:rPr>
        <w:t>第九条</w:t>
      </w:r>
      <w:r>
        <w:rPr>
          <w:rFonts w:hint="eastAsia" w:ascii="Times New Roman" w:hAnsi="Times New Roman" w:eastAsia="方正黑体_GBK" w:cs="方正黑体_GBK"/>
          <w:sz w:val="32"/>
          <w:szCs w:val="32"/>
          <w:lang w:bidi="ar"/>
        </w:rPr>
        <w:t xml:space="preserve">  </w:t>
      </w:r>
      <w:r>
        <w:rPr>
          <w:rFonts w:hint="eastAsia" w:ascii="Times New Roman" w:hAnsi="方正仿宋_GBK" w:eastAsia="方正仿宋_GBK" w:cs="方正仿宋_GBK"/>
          <w:color w:val="000000"/>
          <w:sz w:val="32"/>
          <w:szCs w:val="32"/>
          <w:lang w:bidi="ar"/>
        </w:rPr>
        <w:t>市、区县政府上市牵头部门将按照市政府工作部署组织入库企业进行常态化路演，邀请银行、券商、私募股权基金等参与，拓宽资本与项目对接渠道。组织入库企业高管参加</w:t>
      </w:r>
      <w:r>
        <w:rPr>
          <w:rFonts w:hint="eastAsia" w:ascii="Times New Roman" w:hAnsi="Times New Roman" w:eastAsia="方正仿宋_GBK" w:cs="方正仿宋_GBK"/>
          <w:color w:val="000000"/>
          <w:sz w:val="32"/>
          <w:szCs w:val="32"/>
          <w:lang w:bidi="ar"/>
        </w:rPr>
        <w:t>“</w:t>
      </w:r>
      <w:r>
        <w:rPr>
          <w:rFonts w:hint="eastAsia" w:ascii="Times New Roman" w:hAnsi="方正仿宋_GBK" w:eastAsia="方正仿宋_GBK" w:cs="方正仿宋_GBK"/>
          <w:color w:val="000000"/>
          <w:sz w:val="32"/>
          <w:szCs w:val="32"/>
          <w:lang w:bidi="ar"/>
        </w:rPr>
        <w:t>走进交易所</w:t>
      </w:r>
      <w:r>
        <w:rPr>
          <w:rFonts w:hint="eastAsia" w:ascii="Times New Roman" w:hAnsi="Times New Roman" w:eastAsia="方正仿宋_GBK" w:cs="方正仿宋_GBK"/>
          <w:color w:val="000000"/>
          <w:sz w:val="32"/>
          <w:szCs w:val="32"/>
          <w:lang w:bidi="ar"/>
        </w:rPr>
        <w:t>”“</w:t>
      </w:r>
      <w:r>
        <w:rPr>
          <w:rFonts w:hint="eastAsia" w:ascii="Times New Roman" w:hAnsi="方正仿宋_GBK" w:eastAsia="方正仿宋_GBK" w:cs="方正仿宋_GBK"/>
          <w:color w:val="000000"/>
          <w:sz w:val="32"/>
          <w:szCs w:val="32"/>
          <w:lang w:bidi="ar"/>
        </w:rPr>
        <w:t>董秘沙龙</w:t>
      </w:r>
      <w:r>
        <w:rPr>
          <w:rFonts w:hint="eastAsia" w:ascii="Times New Roman" w:hAnsi="Times New Roman" w:eastAsia="方正仿宋_GBK" w:cs="方正仿宋_GBK"/>
          <w:color w:val="000000"/>
          <w:sz w:val="32"/>
          <w:szCs w:val="32"/>
          <w:lang w:bidi="ar"/>
        </w:rPr>
        <w:t>”</w:t>
      </w:r>
      <w:r>
        <w:rPr>
          <w:rFonts w:hint="eastAsia" w:ascii="Times New Roman" w:hAnsi="方正仿宋_GBK" w:eastAsia="方正仿宋_GBK" w:cs="方正仿宋_GBK"/>
          <w:color w:val="000000"/>
          <w:sz w:val="32"/>
          <w:szCs w:val="32"/>
          <w:lang w:bidi="ar"/>
        </w:rPr>
        <w:t>等资本市场培训活动</w:t>
      </w:r>
      <w:r>
        <w:rPr>
          <w:rFonts w:ascii="Times New Roman" w:hAnsi="Times New Roman" w:eastAsia="方正仿宋_GBK" w:cs="方正仿宋_GBK"/>
          <w:color w:val="000000"/>
          <w:sz w:val="32"/>
          <w:szCs w:val="32"/>
          <w:lang w:bidi="ar"/>
        </w:rPr>
        <w:t>。</w:t>
      </w:r>
    </w:p>
    <w:p>
      <w:pPr>
        <w:spacing w:line="600" w:lineRule="exact"/>
        <w:ind w:firstLine="640" w:firstLineChars="200"/>
        <w:rPr>
          <w:rFonts w:ascii="Times New Roman" w:hAnsi="Times New Roman" w:eastAsia="方正仿宋_GBK" w:cs="方正仿宋_GBK"/>
          <w:color w:val="000000"/>
          <w:sz w:val="32"/>
          <w:szCs w:val="32"/>
          <w:lang w:bidi="ar"/>
        </w:rPr>
      </w:pPr>
      <w:r>
        <w:rPr>
          <w:rFonts w:ascii="Times New Roman" w:hAnsi="Times New Roman" w:eastAsia="方正黑体_GBK" w:cs="方正黑体_GBK"/>
          <w:sz w:val="32"/>
          <w:szCs w:val="32"/>
          <w:lang w:bidi="ar"/>
        </w:rPr>
        <w:t>第十条</w:t>
      </w:r>
      <w:r>
        <w:rPr>
          <w:rFonts w:hint="eastAsia" w:ascii="Times New Roman" w:hAnsi="Times New Roman" w:eastAsia="方正黑体_GBK" w:cs="方正黑体_GBK"/>
          <w:sz w:val="32"/>
          <w:szCs w:val="32"/>
          <w:lang w:bidi="ar"/>
        </w:rPr>
        <w:t xml:space="preserve">  </w:t>
      </w:r>
      <w:r>
        <w:rPr>
          <w:rFonts w:ascii="Times New Roman" w:hAnsi="Times New Roman" w:eastAsia="方正仿宋_GBK" w:cs="方正仿宋_GBK"/>
          <w:color w:val="000000"/>
          <w:sz w:val="32"/>
          <w:szCs w:val="32"/>
          <w:lang w:bidi="ar"/>
        </w:rPr>
        <w:t>根据入库企业申请，市金融监管局邀请市级媒体对企业进行宣传报道，在各类项目对接会、产品推介会中宣传展示企业及产品，提高企业知名度和美誉度。</w:t>
      </w:r>
    </w:p>
    <w:p>
      <w:pPr>
        <w:spacing w:line="600" w:lineRule="exact"/>
        <w:ind w:firstLine="640" w:firstLineChars="200"/>
        <w:rPr>
          <w:rFonts w:ascii="Times New Roman" w:hAnsi="Times New Roman" w:eastAsia="方正仿宋_GBK" w:cs="方正仿宋_GBK"/>
          <w:color w:val="000000"/>
          <w:sz w:val="32"/>
          <w:szCs w:val="32"/>
        </w:rPr>
      </w:pPr>
    </w:p>
    <w:p>
      <w:pPr>
        <w:spacing w:line="600" w:lineRule="exact"/>
        <w:jc w:val="center"/>
        <w:rPr>
          <w:rFonts w:ascii="Times New Roman" w:hAnsi="Times New Roman" w:eastAsia="方正黑体_GBK" w:cs="方正黑体_GBK"/>
          <w:sz w:val="32"/>
          <w:szCs w:val="32"/>
        </w:rPr>
      </w:pPr>
      <w:r>
        <w:rPr>
          <w:rFonts w:ascii="Times New Roman" w:hAnsi="Times New Roman" w:eastAsia="方正黑体_GBK" w:cs="方正黑体_GBK"/>
          <w:sz w:val="32"/>
          <w:szCs w:val="32"/>
          <w:lang w:bidi="ar"/>
        </w:rPr>
        <w:t>第四章</w:t>
      </w:r>
      <w:r>
        <w:rPr>
          <w:rFonts w:hint="eastAsia" w:ascii="Times New Roman" w:hAnsi="Times New Roman" w:eastAsia="方正黑体_GBK" w:cs="方正黑体_GBK"/>
          <w:sz w:val="32"/>
          <w:szCs w:val="32"/>
          <w:lang w:bidi="ar"/>
        </w:rPr>
        <w:t xml:space="preserve">  </w:t>
      </w:r>
      <w:r>
        <w:rPr>
          <w:rFonts w:ascii="Times New Roman" w:hAnsi="Times New Roman" w:eastAsia="方正黑体_GBK" w:cs="方正黑体_GBK"/>
          <w:sz w:val="32"/>
          <w:szCs w:val="32"/>
          <w:lang w:bidi="ar"/>
        </w:rPr>
        <w:t>管</w:t>
      </w:r>
      <w:r>
        <w:rPr>
          <w:rFonts w:hint="eastAsia" w:ascii="Times New Roman" w:hAnsi="Times New Roman" w:eastAsia="方正黑体_GBK" w:cs="方正黑体_GBK"/>
          <w:sz w:val="32"/>
          <w:szCs w:val="32"/>
          <w:lang w:bidi="ar"/>
        </w:rPr>
        <w:t xml:space="preserve"> </w:t>
      </w:r>
      <w:r>
        <w:rPr>
          <w:rFonts w:ascii="Times New Roman" w:hAnsi="Times New Roman" w:eastAsia="方正黑体_GBK" w:cs="方正黑体_GBK"/>
          <w:sz w:val="32"/>
          <w:szCs w:val="32"/>
          <w:lang w:bidi="ar"/>
        </w:rPr>
        <w:t>理</w:t>
      </w:r>
    </w:p>
    <w:p>
      <w:pPr>
        <w:spacing w:line="600" w:lineRule="exact"/>
        <w:ind w:firstLine="640" w:firstLineChars="200"/>
        <w:rPr>
          <w:rFonts w:ascii="Times New Roman" w:hAnsi="Times New Roman" w:eastAsia="方正仿宋_GBK" w:cs="方正仿宋_GBK"/>
          <w:sz w:val="32"/>
          <w:szCs w:val="32"/>
        </w:rPr>
      </w:pPr>
      <w:r>
        <w:rPr>
          <w:rFonts w:ascii="Times New Roman" w:hAnsi="Times New Roman" w:eastAsia="方正黑体_GBK" w:cs="方正黑体_GBK"/>
          <w:sz w:val="32"/>
          <w:szCs w:val="32"/>
          <w:lang w:bidi="ar"/>
        </w:rPr>
        <w:t>第十一条</w:t>
      </w:r>
      <w:r>
        <w:rPr>
          <w:rFonts w:hint="eastAsia" w:ascii="Times New Roman" w:hAnsi="Times New Roman" w:eastAsia="方正黑体_GBK" w:cs="方正黑体_GBK"/>
          <w:sz w:val="32"/>
          <w:szCs w:val="32"/>
          <w:lang w:bidi="ar"/>
        </w:rPr>
        <w:t xml:space="preserve">  </w:t>
      </w:r>
      <w:r>
        <w:rPr>
          <w:rFonts w:ascii="Times New Roman" w:hAnsi="Times New Roman" w:eastAsia="方正仿宋_GBK" w:cs="方正仿宋_GBK"/>
          <w:sz w:val="32"/>
          <w:szCs w:val="32"/>
          <w:lang w:bidi="ar"/>
        </w:rPr>
        <w:t>已入库企业要积极加快推进上市进程，每半年更新1次主要财务指标，在股份制改造、签订保荐服务协议、通过券商内核、辅导备案、申报材料等环节取得实质性进展的，应当及时报告市、区县政府上市牵头部门。</w:t>
      </w:r>
    </w:p>
    <w:p>
      <w:pPr>
        <w:spacing w:line="600" w:lineRule="exact"/>
        <w:ind w:firstLine="640" w:firstLineChars="200"/>
        <w:rPr>
          <w:rFonts w:ascii="Times New Roman" w:hAnsi="Times New Roman" w:eastAsia="方正仿宋_GBK" w:cs="方正仿宋_GBK"/>
          <w:sz w:val="32"/>
          <w:szCs w:val="32"/>
        </w:rPr>
      </w:pPr>
      <w:r>
        <w:rPr>
          <w:rFonts w:ascii="Times New Roman" w:hAnsi="Times New Roman" w:eastAsia="方正黑体_GBK" w:cs="方正黑体_GBK"/>
          <w:sz w:val="32"/>
          <w:szCs w:val="32"/>
          <w:lang w:bidi="ar"/>
        </w:rPr>
        <w:t>第十二条</w:t>
      </w:r>
      <w:r>
        <w:rPr>
          <w:rFonts w:hint="eastAsia" w:ascii="Times New Roman" w:hAnsi="Times New Roman" w:eastAsia="方正黑体_GBK" w:cs="方正黑体_GBK"/>
          <w:sz w:val="32"/>
          <w:szCs w:val="32"/>
          <w:lang w:bidi="ar"/>
        </w:rPr>
        <w:t xml:space="preserve">  </w:t>
      </w:r>
      <w:r>
        <w:rPr>
          <w:rFonts w:ascii="Times New Roman" w:hAnsi="Times New Roman" w:eastAsia="方正仿宋_GBK" w:cs="方正仿宋_GBK"/>
          <w:sz w:val="32"/>
          <w:szCs w:val="32"/>
          <w:lang w:bidi="ar"/>
        </w:rPr>
        <w:t>市金融监管局负责全市拟上市企业后备库的日常管理和运维，对入库企业实施动态管理，每年增补和退出名单向社会公告。对有下列情况之一的企业，退出后备库管理：</w:t>
      </w:r>
    </w:p>
    <w:p>
      <w:pPr>
        <w:spacing w:line="60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lang w:bidi="ar"/>
        </w:rPr>
        <w:t>（一）企业已完成上市的；</w:t>
      </w:r>
    </w:p>
    <w:p>
      <w:pPr>
        <w:spacing w:line="60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lang w:bidi="ar"/>
        </w:rPr>
        <w:t>（二）企业主动申请退出的；</w:t>
      </w:r>
    </w:p>
    <w:p>
      <w:pPr>
        <w:spacing w:line="60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lang w:bidi="ar"/>
        </w:rPr>
        <w:t>（三）企业发生较大负面影响的事件；</w:t>
      </w:r>
    </w:p>
    <w:p>
      <w:pPr>
        <w:spacing w:line="60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lang w:bidi="ar"/>
        </w:rPr>
        <w:t>（四）企业财务情况连续两个年度不符合入库条件的；</w:t>
      </w:r>
    </w:p>
    <w:p>
      <w:pPr>
        <w:spacing w:line="600" w:lineRule="exact"/>
        <w:ind w:firstLine="640"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lang w:bidi="ar"/>
        </w:rPr>
        <w:t>（五）不按时更新信息或报告上市进展或者不接受管理，且拒绝不整改的。</w:t>
      </w:r>
    </w:p>
    <w:p>
      <w:pPr>
        <w:spacing w:line="600" w:lineRule="exact"/>
        <w:ind w:firstLine="640" w:firstLineChars="200"/>
        <w:rPr>
          <w:rFonts w:ascii="Times New Roman" w:hAnsi="Times New Roman" w:eastAsia="方正仿宋_GBK" w:cs="方正仿宋_GBK"/>
          <w:sz w:val="32"/>
          <w:szCs w:val="32"/>
          <w:lang w:bidi="ar"/>
        </w:rPr>
      </w:pPr>
      <w:r>
        <w:rPr>
          <w:rFonts w:ascii="Times New Roman" w:hAnsi="Times New Roman" w:eastAsia="方正黑体_GBK" w:cs="方正黑体_GBK"/>
          <w:sz w:val="32"/>
          <w:szCs w:val="32"/>
          <w:lang w:bidi="ar"/>
        </w:rPr>
        <w:t>第十三条</w:t>
      </w:r>
      <w:r>
        <w:rPr>
          <w:rFonts w:ascii="Times New Roman" w:hAnsi="Times New Roman" w:eastAsia="方正仿宋_GBK" w:cs="方正仿宋_GBK"/>
          <w:sz w:val="32"/>
          <w:szCs w:val="32"/>
          <w:lang w:bidi="ar"/>
        </w:rPr>
        <w:t> </w:t>
      </w:r>
      <w:r>
        <w:rPr>
          <w:rFonts w:hint="eastAsia" w:ascii="Times New Roman" w:hAnsi="方正仿宋_GBK" w:eastAsia="方正仿宋_GBK" w:cs="方正仿宋_GBK"/>
          <w:sz w:val="32"/>
          <w:szCs w:val="32"/>
          <w:lang w:bidi="ar"/>
        </w:rPr>
        <w:t>各级上市工作牵头部门要利用好</w:t>
      </w:r>
      <w:r>
        <w:rPr>
          <w:rFonts w:hint="eastAsia" w:ascii="Times New Roman" w:hAnsi="Times New Roman" w:eastAsia="方正仿宋_GBK" w:cs="方正仿宋_GBK"/>
          <w:sz w:val="32"/>
          <w:szCs w:val="32"/>
          <w:lang w:bidi="ar"/>
        </w:rPr>
        <w:t>“</w:t>
      </w:r>
      <w:r>
        <w:rPr>
          <w:rFonts w:hint="eastAsia" w:ascii="Times New Roman" w:hAnsi="方正仿宋_GBK" w:eastAsia="方正仿宋_GBK" w:cs="方正仿宋_GBK"/>
          <w:sz w:val="32"/>
          <w:szCs w:val="32"/>
          <w:lang w:bidi="ar"/>
        </w:rPr>
        <w:t>科创资本通</w:t>
      </w:r>
      <w:r>
        <w:rPr>
          <w:rFonts w:hint="eastAsia" w:ascii="Times New Roman" w:hAnsi="Times New Roman" w:eastAsia="方正仿宋_GBK" w:cs="方正仿宋_GBK"/>
          <w:sz w:val="32"/>
          <w:szCs w:val="32"/>
          <w:lang w:bidi="ar"/>
        </w:rPr>
        <w:t>”</w:t>
      </w:r>
      <w:r>
        <w:rPr>
          <w:rFonts w:hint="eastAsia" w:ascii="Times New Roman" w:hAnsi="方正仿宋_GBK" w:eastAsia="方正仿宋_GBK" w:cs="方正仿宋_GBK"/>
          <w:sz w:val="32"/>
          <w:szCs w:val="32"/>
          <w:lang w:bidi="ar"/>
        </w:rPr>
        <w:t>平台，开展企业上市培育工作，并对相关工作信息、数据等负有保密义务，采取有效措施防止数据泄露，按规定做好信息安全工作。</w:t>
      </w:r>
    </w:p>
    <w:p>
      <w:pPr>
        <w:spacing w:line="600" w:lineRule="exact"/>
        <w:ind w:firstLine="640" w:firstLineChars="200"/>
        <w:rPr>
          <w:rFonts w:ascii="Times New Roman" w:hAnsi="Times New Roman" w:eastAsia="方正仿宋_GBK" w:cs="方正仿宋_GBK"/>
          <w:sz w:val="32"/>
          <w:szCs w:val="32"/>
        </w:rPr>
      </w:pPr>
    </w:p>
    <w:p>
      <w:pPr>
        <w:spacing w:line="600" w:lineRule="exact"/>
        <w:jc w:val="center"/>
        <w:rPr>
          <w:rFonts w:ascii="Times New Roman" w:hAnsi="Times New Roman" w:eastAsia="方正黑体_GBK" w:cs="方正黑体_GBK"/>
          <w:sz w:val="32"/>
          <w:szCs w:val="32"/>
        </w:rPr>
      </w:pPr>
      <w:r>
        <w:rPr>
          <w:rFonts w:ascii="Times New Roman" w:hAnsi="Times New Roman" w:eastAsia="方正黑体_GBK" w:cs="方正黑体_GBK"/>
          <w:sz w:val="32"/>
          <w:szCs w:val="32"/>
          <w:lang w:bidi="ar"/>
        </w:rPr>
        <w:t>第五章</w:t>
      </w:r>
      <w:r>
        <w:rPr>
          <w:rFonts w:hint="eastAsia" w:ascii="Times New Roman" w:hAnsi="Times New Roman" w:eastAsia="方正黑体_GBK" w:cs="方正黑体_GBK"/>
          <w:sz w:val="32"/>
          <w:szCs w:val="32"/>
          <w:lang w:bidi="ar"/>
        </w:rPr>
        <w:t xml:space="preserve">  </w:t>
      </w:r>
      <w:r>
        <w:rPr>
          <w:rFonts w:ascii="Times New Roman" w:hAnsi="Times New Roman" w:eastAsia="方正黑体_GBK" w:cs="方正黑体_GBK"/>
          <w:sz w:val="32"/>
          <w:szCs w:val="32"/>
          <w:lang w:bidi="ar"/>
        </w:rPr>
        <w:t>附</w:t>
      </w:r>
      <w:r>
        <w:rPr>
          <w:rFonts w:hint="eastAsia" w:ascii="Times New Roman" w:hAnsi="Times New Roman" w:eastAsia="方正黑体_GBK" w:cs="方正黑体_GBK"/>
          <w:sz w:val="32"/>
          <w:szCs w:val="32"/>
          <w:lang w:bidi="ar"/>
        </w:rPr>
        <w:t xml:space="preserve"> </w:t>
      </w:r>
      <w:r>
        <w:rPr>
          <w:rFonts w:ascii="Times New Roman" w:hAnsi="Times New Roman" w:eastAsia="方正黑体_GBK" w:cs="方正黑体_GBK"/>
          <w:sz w:val="32"/>
          <w:szCs w:val="32"/>
          <w:lang w:bidi="ar"/>
        </w:rPr>
        <w:t>则</w:t>
      </w:r>
    </w:p>
    <w:p>
      <w:pPr>
        <w:spacing w:line="600" w:lineRule="exact"/>
        <w:ind w:firstLine="640" w:firstLineChars="200"/>
        <w:rPr>
          <w:rFonts w:ascii="Times New Roman" w:hAnsi="Times New Roman" w:eastAsia="方正黑体_GBK" w:cs="方正黑体_GBK"/>
          <w:sz w:val="32"/>
          <w:szCs w:val="32"/>
        </w:rPr>
      </w:pPr>
      <w:r>
        <w:rPr>
          <w:rFonts w:ascii="Times New Roman" w:hAnsi="Times New Roman" w:eastAsia="方正黑体_GBK" w:cs="方正黑体_GBK"/>
          <w:sz w:val="32"/>
          <w:szCs w:val="32"/>
          <w:lang w:bidi="ar"/>
        </w:rPr>
        <w:t>第十四条</w:t>
      </w:r>
      <w:r>
        <w:rPr>
          <w:rFonts w:hint="eastAsia" w:ascii="Times New Roman" w:hAnsi="Times New Roman" w:eastAsia="方正仿宋_GBK" w:cs="方正仿宋_GBK"/>
          <w:sz w:val="32"/>
          <w:szCs w:val="32"/>
          <w:lang w:bidi="ar"/>
        </w:rPr>
        <w:t xml:space="preserve">  </w:t>
      </w:r>
      <w:r>
        <w:rPr>
          <w:rFonts w:ascii="Times New Roman" w:hAnsi="Times New Roman" w:eastAsia="方正仿宋_GBK" w:cs="方正仿宋_GBK"/>
          <w:sz w:val="32"/>
          <w:szCs w:val="32"/>
          <w:lang w:bidi="ar"/>
        </w:rPr>
        <w:t>各市级行业主管部门、各区县政府应结合实际，建立本区域、本行业企业上市子库，并加强管理和服务</w:t>
      </w:r>
      <w:r>
        <w:rPr>
          <w:rFonts w:ascii="Times New Roman" w:hAnsi="Times New Roman" w:eastAsia="方正黑体_GBK" w:cs="方正黑体_GBK"/>
          <w:sz w:val="32"/>
          <w:szCs w:val="32"/>
          <w:lang w:bidi="ar"/>
        </w:rPr>
        <w:t>。</w:t>
      </w:r>
    </w:p>
    <w:p>
      <w:pPr>
        <w:spacing w:line="600" w:lineRule="exact"/>
        <w:ind w:firstLine="640" w:firstLineChars="200"/>
        <w:rPr>
          <w:rFonts w:ascii="Times New Roman" w:hAnsi="Times New Roman" w:eastAsia="方正仿宋_GBK" w:cs="方正仿宋_GBK"/>
          <w:sz w:val="32"/>
          <w:szCs w:val="32"/>
        </w:rPr>
      </w:pPr>
      <w:r>
        <w:rPr>
          <w:rFonts w:ascii="Times New Roman" w:hAnsi="Times New Roman" w:eastAsia="方正黑体_GBK" w:cs="方正黑体_GBK"/>
          <w:sz w:val="32"/>
          <w:szCs w:val="32"/>
          <w:lang w:bidi="ar"/>
        </w:rPr>
        <w:t>第十五条</w:t>
      </w:r>
      <w:r>
        <w:rPr>
          <w:rFonts w:hint="eastAsia" w:ascii="Times New Roman" w:hAnsi="Times New Roman" w:eastAsia="方正黑体_GBK" w:cs="方正黑体_GBK"/>
          <w:sz w:val="32"/>
          <w:szCs w:val="32"/>
          <w:lang w:bidi="ar"/>
        </w:rPr>
        <w:t xml:space="preserve">  </w:t>
      </w:r>
      <w:r>
        <w:rPr>
          <w:rFonts w:ascii="Times New Roman" w:hAnsi="Times New Roman" w:eastAsia="方正仿宋_GBK" w:cs="方正仿宋_GBK"/>
          <w:sz w:val="32"/>
          <w:szCs w:val="32"/>
          <w:lang w:bidi="ar"/>
        </w:rPr>
        <w:t>本办法由市金融监管局负责解释。</w:t>
      </w:r>
    </w:p>
    <w:p>
      <w:pPr>
        <w:spacing w:line="600" w:lineRule="exact"/>
        <w:ind w:firstLine="640" w:firstLineChars="200"/>
        <w:rPr>
          <w:rFonts w:ascii="Times New Roman" w:hAnsi="Times New Roman" w:eastAsia="方正仿宋_GBK" w:cs="方正仿宋_GBK"/>
          <w:sz w:val="32"/>
          <w:szCs w:val="32"/>
          <w:lang w:bidi="ar"/>
        </w:rPr>
      </w:pPr>
      <w:r>
        <w:rPr>
          <w:rFonts w:ascii="Times New Roman" w:hAnsi="Times New Roman" w:eastAsia="方正黑体_GBK" w:cs="方正黑体_GBK"/>
          <w:sz w:val="32"/>
          <w:szCs w:val="32"/>
          <w:lang w:bidi="ar"/>
        </w:rPr>
        <w:t>第十六条</w:t>
      </w:r>
      <w:r>
        <w:rPr>
          <w:rFonts w:hint="eastAsia" w:ascii="Times New Roman" w:hAnsi="Times New Roman" w:eastAsia="方正黑体_GBK" w:cs="方正黑体_GBK"/>
          <w:sz w:val="32"/>
          <w:szCs w:val="32"/>
          <w:lang w:bidi="ar"/>
        </w:rPr>
        <w:t xml:space="preserve">  </w:t>
      </w:r>
      <w:r>
        <w:rPr>
          <w:rFonts w:ascii="Times New Roman" w:hAnsi="Times New Roman" w:eastAsia="方正仿宋_GBK" w:cs="方正仿宋_GBK"/>
          <w:sz w:val="32"/>
          <w:szCs w:val="32"/>
          <w:lang w:bidi="ar"/>
        </w:rPr>
        <w:t>本办法自</w:t>
      </w:r>
      <w:r>
        <w:rPr>
          <w:rFonts w:ascii="Times New Roman" w:hAnsi="Times New Roman" w:eastAsia="方正仿宋_GBK" w:cs="Times New Roman"/>
          <w:sz w:val="32"/>
          <w:szCs w:val="32"/>
          <w:lang w:bidi="ar"/>
        </w:rPr>
        <w:t>8</w:t>
      </w:r>
      <w:r>
        <w:rPr>
          <w:rFonts w:ascii="Times New Roman" w:hAnsi="Times New Roman" w:eastAsia="方正仿宋_GBK" w:cs="方正仿宋_GBK"/>
          <w:sz w:val="32"/>
          <w:szCs w:val="32"/>
          <w:lang w:bidi="ar"/>
        </w:rPr>
        <w:t>月</w:t>
      </w:r>
      <w:r>
        <w:rPr>
          <w:rFonts w:hint="eastAsia" w:ascii="Times New Roman" w:hAnsi="Times New Roman" w:eastAsia="方正仿宋_GBK" w:cs="Times New Roman"/>
          <w:sz w:val="32"/>
          <w:szCs w:val="32"/>
          <w:lang w:bidi="ar"/>
        </w:rPr>
        <w:t>20</w:t>
      </w:r>
      <w:r>
        <w:rPr>
          <w:rFonts w:ascii="Times New Roman" w:hAnsi="Times New Roman" w:eastAsia="方正仿宋_GBK" w:cs="方正仿宋_GBK"/>
          <w:sz w:val="32"/>
          <w:szCs w:val="32"/>
          <w:lang w:bidi="ar"/>
        </w:rPr>
        <w:t>日起执行。凡以前规定与本办法不一致的，按本办法执行。</w:t>
      </w:r>
    </w:p>
    <w:sectPr>
      <w:headerReference r:id="rId3" w:type="default"/>
      <w:footerReference r:id="rId4" w:type="default"/>
      <w:pgSz w:w="11906" w:h="16838"/>
      <w:pgMar w:top="1962" w:right="1474" w:bottom="1848" w:left="1588" w:header="851" w:footer="992" w:gutter="0"/>
      <w:pgNumType w:fmt="numberInDash" w:start="1"/>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3665" distR="113665" simplePos="0" relativeHeight="251661312" behindDoc="0" locked="0" layoutInCell="1" allowOverlap="1">
              <wp:simplePos x="0" y="0"/>
              <wp:positionH relativeFrom="margin">
                <wp:posOffset>5162550</wp:posOffset>
              </wp:positionH>
              <wp:positionV relativeFrom="paragraph">
                <wp:posOffset>-83185</wp:posOffset>
              </wp:positionV>
              <wp:extent cx="444500" cy="230505"/>
              <wp:effectExtent l="0" t="0" r="0" b="0"/>
              <wp:wrapNone/>
              <wp:docPr id="19" name="文本框 10"/>
              <wp:cNvGraphicFramePr/>
              <a:graphic xmlns:a="http://schemas.openxmlformats.org/drawingml/2006/main">
                <a:graphicData uri="http://schemas.microsoft.com/office/word/2010/wordprocessingShape">
                  <wps:wsp>
                    <wps:cNvSpPr/>
                    <wps:spPr>
                      <a:xfrm>
                        <a:off x="0" y="0"/>
                        <a:ext cx="444499" cy="230251"/>
                      </a:xfrm>
                      <a:prstGeom prst="rect">
                        <a:avLst/>
                      </a:prstGeom>
                      <a:noFill/>
                      <a:ln w="6350" cap="flat" cmpd="sng">
                        <a:noFill/>
                        <a:prstDash val="solid"/>
                        <a:round/>
                      </a:ln>
                    </wps:spPr>
                    <wps:txbx>
                      <w:txbxContent>
                        <w:p>
                          <w:pPr>
                            <w:pStyle w:val="6"/>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hint="eastAsia" w:ascii="宋体" w:cs="宋体"/>
                              <w:sz w:val="28"/>
                              <w:szCs w:val="28"/>
                            </w:rPr>
                            <w:t>- 1 -</w:t>
                          </w:r>
                          <w:r>
                            <w:rPr>
                              <w:rFonts w:hint="eastAsia" w:ascii="宋体" w:cs="宋体"/>
                              <w:sz w:val="28"/>
                              <w:szCs w:val="28"/>
                            </w:rPr>
                            <w:fldChar w:fldCharType="end"/>
                          </w:r>
                        </w:p>
                      </w:txbxContent>
                    </wps:txbx>
                    <wps:bodyPr vert="horz" wrap="none" lIns="0" tIns="0" rIns="0" bIns="0" anchor="t" anchorCtr="0">
                      <a:spAutoFit/>
                    </wps:bodyPr>
                  </wps:wsp>
                </a:graphicData>
              </a:graphic>
            </wp:anchor>
          </w:drawing>
        </mc:Choice>
        <mc:Fallback>
          <w:pict>
            <v:rect id="文本框 10" o:spid="_x0000_s1026" o:spt="1" style="position:absolute;left:0pt;margin-left:406.5pt;margin-top:-6.55pt;height:18.15pt;width:35pt;mso-position-horizontal-relative:margin;mso-wrap-style:none;z-index:251661312;mso-width-relative:page;mso-height-relative:page;" filled="f" stroked="f" coordsize="21600,21600" o:gfxdata="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2mDZB3AAAAAoBAAAPAAAAAAAAAAEAIAAAACIAAABkcnMvZG93&#10;bnJldi54bWxQSwECFAAUAAAACACHTuJAKzxl3/wBAADqAwAADgAAAAAAAAABACAAAAArAQAAZHJz&#10;L2Uyb0RvYy54bWxQSwUGAAAAAAYABgBZAQAAmQUAAAAA&#10;">
              <v:fill on="f" focussize="0,0"/>
              <v:stroke on="f" weight="0.5pt" joinstyle="round"/>
              <v:imagedata o:title=""/>
              <o:lock v:ext="edit" aspectratio="f"/>
              <v:textbox inset="0mm,0mm,0mm,0mm" style="mso-fit-shape-to-text:t;">
                <w:txbxContent>
                  <w:p>
                    <w:pPr>
                      <w:pStyle w:val="6"/>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hint="eastAsia" w:ascii="宋体" w:cs="宋体"/>
                        <w:sz w:val="28"/>
                        <w:szCs w:val="28"/>
                      </w:rPr>
                      <w:t>- 1 -</w:t>
                    </w:r>
                    <w:r>
                      <w:rPr>
                        <w:rFonts w:hint="eastAsia" w:ascii="宋体" w:cs="宋体"/>
                        <w:sz w:val="28"/>
                        <w:szCs w:val="28"/>
                      </w:rPr>
                      <w:fldChar w:fldCharType="end"/>
                    </w:r>
                  </w:p>
                </w:txbxContent>
              </v:textbox>
            </v:rect>
          </w:pict>
        </mc:Fallback>
      </mc:AlternateContent>
    </w:r>
    <w:r>
      <w:rPr>
        <w:color w:val="FAFAFA"/>
        <w:sz w:val="32"/>
      </w:rPr>
      <mc:AlternateContent>
        <mc:Choice Requires="wps">
          <w:drawing>
            <wp:anchor distT="0" distB="0" distL="113665" distR="113665" simplePos="0" relativeHeight="251660288" behindDoc="0" locked="0" layoutInCell="1" allowOverlap="1">
              <wp:simplePos x="0" y="0"/>
              <wp:positionH relativeFrom="column">
                <wp:posOffset>1270</wp:posOffset>
              </wp:positionH>
              <wp:positionV relativeFrom="paragraph">
                <wp:posOffset>172085</wp:posOffset>
              </wp:positionV>
              <wp:extent cx="5614035" cy="19050"/>
              <wp:effectExtent l="0" t="0" r="24765" b="19050"/>
              <wp:wrapNone/>
              <wp:docPr id="22" name="直接连接符 11"/>
              <wp:cNvGraphicFramePr/>
              <a:graphic xmlns:a="http://schemas.openxmlformats.org/drawingml/2006/main">
                <a:graphicData uri="http://schemas.microsoft.com/office/word/2010/wordprocessingShape">
                  <wps:wsp>
                    <wps:cNvCnPr/>
                    <wps:spPr>
                      <a:xfrm>
                        <a:off x="0" y="0"/>
                        <a:ext cx="5614035" cy="19050"/>
                      </a:xfrm>
                      <a:prstGeom prst="line">
                        <a:avLst/>
                      </a:prstGeom>
                      <a:noFill/>
                      <a:ln w="22225" cap="flat" cmpd="sng">
                        <a:solidFill>
                          <a:srgbClr val="005192"/>
                        </a:solidFill>
                        <a:prstDash val="solid"/>
                        <a:round/>
                      </a:ln>
                    </wps:spPr>
                    <wps:bodyPr/>
                  </wps:wsp>
                </a:graphicData>
              </a:graphic>
            </wp:anchor>
          </w:drawing>
        </mc:Choice>
        <mc:Fallback>
          <w:pict>
            <v:line id="直接连接符 11" o:spid="_x0000_s1026" o:spt="20" style="position:absolute;left:0pt;margin-left:0.1pt;margin-top:13.55pt;height:1.5pt;width:442.05pt;z-index:251660288;mso-width-relative:page;mso-height-relative:page;" filled="f" stroked="t" coordsize="21600,21600" o:gfxdata="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qFMdtIAAAAGAQAADwAAAAAAAAAB&#10;ACAAAAAiAAAAZHJzL2Rvd25yZXYueG1sUEsBAhQAFAAAAAgAh07iQGzIVindAQAAoAMAAA4AAAAA&#10;AAAAAQAgAAAAIQEAAGRycy9lMm9Eb2MueG1sUEsFBgAAAAAGAAYAWQEAAHAFAAAAAA==&#10;">
              <v:fill on="f" focussize="0,0"/>
              <v:stroke weight="1.75pt" color="#005192" joinstyle="round"/>
              <v:imagedata o:title=""/>
              <o:lock v:ext="edit" aspectratio="f"/>
            </v:line>
          </w:pict>
        </mc:Fallback>
      </mc:AlternateContent>
    </w:r>
  </w:p>
  <w:p>
    <w:pPr>
      <w:pStyle w:val="7"/>
      <w:ind w:firstLine="4498" w:firstLineChars="1600"/>
      <w:rPr>
        <w:rFonts w:hint="default" w:eastAsia="宋体"/>
        <w:sz w:val="32"/>
        <w:lang w:val="en-US" w:eastAsia="zh-CN"/>
      </w:rPr>
    </w:pPr>
    <w:r>
      <w:rPr>
        <w:rFonts w:hint="eastAsia" w:ascii="宋体" w:cs="宋体"/>
        <w:b/>
        <w:bCs/>
        <w:color w:val="005192"/>
        <w:sz w:val="28"/>
        <w:szCs w:val="44"/>
      </w:rPr>
      <w:t>重庆市地方金融监督管理局发布</w:t>
    </w:r>
    <w:r>
      <w:rPr>
        <w:rFonts w:hint="eastAsia" w:ascii="宋体" w:cs="宋体"/>
        <w:b/>
        <w:bCs/>
        <w:color w:val="005192"/>
        <w:sz w:val="28"/>
        <w:szCs w:val="44"/>
        <w:lang w:val="en-US" w:eastAsia="zh-CN"/>
      </w:rPr>
      <w:t xml:space="preserve">    </w:t>
    </w:r>
  </w:p>
  <w:p>
    <w:pPr>
      <w:pStyle w:val="7"/>
      <w:tabs>
        <w:tab w:val="center" w:pos="4422"/>
        <w:tab w:val="right" w:pos="8844"/>
      </w:tabs>
      <w:rPr>
        <w:rFonts w:ascii="宋体" w:cs="宋体"/>
        <w:b/>
        <w:bCs/>
        <w:color w:val="005192"/>
        <w:sz w:val="28"/>
        <w:szCs w:val="44"/>
      </w:rPr>
    </w:pPr>
    <w:r>
      <w:rPr>
        <w:rFonts w:ascii="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cs="宋体"/>
        <w:b/>
        <w:bCs/>
        <w:color w:val="005192"/>
        <w:sz w:val="32"/>
      </w:rPr>
    </w:pPr>
    <w:r>
      <w:rPr>
        <w:rFonts w:hint="eastAsia" w:ascii="方正仿宋_GBK" w:eastAsia="方正仿宋_GBK" w:cs="方正仿宋_GBK"/>
        <w:b/>
        <w:bCs/>
        <w:color w:val="000000"/>
        <w:sz w:val="32"/>
      </w:rPr>
      <mc:AlternateContent>
        <mc:Choice Requires="wps">
          <w:drawing>
            <wp:anchor distT="0" distB="0" distL="113665" distR="113665" simplePos="0" relativeHeight="251659264" behindDoc="0" locked="0" layoutInCell="1" allowOverlap="1">
              <wp:simplePos x="0" y="0"/>
              <wp:positionH relativeFrom="column">
                <wp:posOffset>635</wp:posOffset>
              </wp:positionH>
              <wp:positionV relativeFrom="paragraph">
                <wp:posOffset>688340</wp:posOffset>
              </wp:positionV>
              <wp:extent cx="5614035" cy="0"/>
              <wp:effectExtent l="0" t="0" r="0" b="0"/>
              <wp:wrapNone/>
              <wp:docPr id="14" name="直接连接符 2"/>
              <wp:cNvGraphicFramePr/>
              <a:graphic xmlns:a="http://schemas.openxmlformats.org/drawingml/2006/main">
                <a:graphicData uri="http://schemas.microsoft.com/office/word/2010/wordprocessingShape">
                  <wps:wsp>
                    <wps:cNvCnPr/>
                    <wps:spPr>
                      <a:xfrm flipV="1">
                        <a:off x="0" y="0"/>
                        <a:ext cx="5614035" cy="0"/>
                      </a:xfrm>
                      <a:prstGeom prst="line">
                        <a:avLst/>
                      </a:prstGeom>
                      <a:noFill/>
                      <a:ln w="22225" cap="flat" cmpd="sng">
                        <a:solidFill>
                          <a:srgbClr val="005192"/>
                        </a:solidFill>
                        <a:prstDash val="solid"/>
                        <a:round/>
                      </a:ln>
                    </wps:spPr>
                    <wps:bodyPr/>
                  </wps:wsp>
                </a:graphicData>
              </a:graphic>
            </wp:anchor>
          </w:drawing>
        </mc:Choice>
        <mc:Fallback>
          <w:pict>
            <v:line id="直接连接符 2" o:spid="_x0000_s1026" o:spt="20" style="position:absolute;left:0pt;flip:y;margin-left:0.05pt;margin-top:54.2pt;height:0pt;width:442.05pt;z-index:251659264;mso-width-relative:page;mso-height-relative:page;" filled="f" stroked="t" coordsize="21600,21600" o:gfxdata="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LEiM9YAAAAIAQAADwAA&#10;AAAAAAABACAAAAAiAAAAZHJzL2Rvd25yZXYueG1sUEsBAhQAFAAAAAgAh07iQNAomzvfAQAApQMA&#10;AA4AAAAAAAAAAQAgAAAAJQEAAGRycy9lMm9Eb2MueG1sUEsFBgAAAAAGAAYAWQEAAHYFAAAAAA==&#10;">
              <v:fill on="f" focussize="0,0"/>
              <v:stroke weight="1.75pt" color="#005192" joinstyle="round"/>
              <v:imagedata o:title=""/>
              <o:lock v:ext="edit" aspectratio="f"/>
            </v:line>
          </w:pict>
        </mc:Fallback>
      </mc:AlternateContent>
    </w:r>
  </w:p>
  <w:p>
    <w:pPr>
      <w:pStyle w:val="7"/>
      <w:textAlignment w:val="center"/>
      <w:rPr>
        <w:rFonts w:ascii="宋体" w:cs="宋体"/>
        <w:b/>
        <w:bCs/>
        <w:color w:val="005192"/>
        <w:sz w:val="32"/>
        <w:szCs w:val="32"/>
      </w:rPr>
    </w:pPr>
    <w:r>
      <w:rPr>
        <w:rFonts w:hint="eastAsia" w:ascii="宋体" w:cs="宋体"/>
        <w:b/>
        <w:bCs/>
        <w:color w:val="005192"/>
        <w:sz w:val="32"/>
      </w:rPr>
      <w:t xml:space="preserve"> </w:t>
    </w:r>
    <w:r>
      <w:rPr>
        <w:rFonts w:hint="eastAsia" w:ascii="宋体" w:cs="宋体"/>
        <w:b/>
        <w:bCs/>
        <w:color w:val="005192"/>
        <w:sz w:val="32"/>
      </w:rPr>
      <w:drawing>
        <wp:inline distT="0" distB="0" distL="114300" distR="114300">
          <wp:extent cx="308610" cy="308610"/>
          <wp:effectExtent l="0" t="0" r="0" b="0"/>
          <wp:docPr id="10"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国徽1024"/>
                  <pic:cNvPicPr>
                    <a:picLocks noChangeAspect="1"/>
                  </pic:cNvPicPr>
                </pic:nvPicPr>
                <pic:blipFill>
                  <a:blip r:embed="rId1"/>
                  <a:stretch>
                    <a:fillRect/>
                  </a:stretch>
                </pic:blipFill>
                <pic:spPr>
                  <a:xfrm>
                    <a:off x="0" y="0"/>
                    <a:ext cx="308610" cy="308610"/>
                  </a:xfrm>
                  <a:prstGeom prst="rect">
                    <a:avLst/>
                  </a:prstGeom>
                  <a:noFill/>
                  <a:ln w="9525" cap="flat" cmpd="sng">
                    <a:noFill/>
                    <a:prstDash val="solid"/>
                    <a:miter/>
                  </a:ln>
                </pic:spPr>
              </pic:pic>
            </a:graphicData>
          </a:graphic>
        </wp:inline>
      </w:drawing>
    </w:r>
    <w:r>
      <w:rPr>
        <w:rFonts w:ascii="宋体" w:cs="宋体"/>
        <w:b/>
        <w:bCs/>
        <w:color w:val="005192"/>
        <w:sz w:val="32"/>
      </w:rPr>
      <w:t xml:space="preserve"> </w:t>
    </w:r>
    <w:r>
      <w:rPr>
        <w:rFonts w:hint="eastAsia" w:ascii="宋体" w:cs="宋体"/>
        <w:b/>
        <w:bCs/>
        <w:color w:val="005192"/>
        <w:sz w:val="32"/>
      </w:rPr>
      <w:t>重庆市地方金融监督管理局</w:t>
    </w:r>
    <w:r>
      <w:rPr>
        <w:rFonts w:hint="eastAsia" w:ascii="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compatSetting w:name="compatibilityMode" w:uri="http://schemas.microsoft.com/office/word" w:val="14"/>
  </w:compat>
  <w:docVars>
    <w:docVar w:name="commondata" w:val="eyJoZGlkIjoiOTEyY2YzZDE1YTViZjk0NGY2ZDA1YmMxMTc4MDc1ZGUifQ=="/>
  </w:docVars>
  <w:rsids>
    <w:rsidRoot w:val="000032C5"/>
    <w:rsid w:val="000032C5"/>
    <w:rsid w:val="00484E4B"/>
    <w:rsid w:val="005C79D9"/>
    <w:rsid w:val="00705B41"/>
    <w:rsid w:val="007306CC"/>
    <w:rsid w:val="007335B7"/>
    <w:rsid w:val="00A13731"/>
    <w:rsid w:val="00A31986"/>
    <w:rsid w:val="00BD416B"/>
    <w:rsid w:val="00F445AD"/>
    <w:rsid w:val="00F57E59"/>
    <w:rsid w:val="14417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4"/>
    <w:basedOn w:val="1"/>
    <w:next w:val="1"/>
    <w:semiHidden/>
    <w:unhideWhenUsed/>
    <w:qFormat/>
    <w:uiPriority w:val="9"/>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Date"/>
    <w:basedOn w:val="1"/>
    <w:next w:val="1"/>
    <w:link w:val="15"/>
    <w:semiHidden/>
    <w:unhideWhenUsed/>
    <w:uiPriority w:val="99"/>
    <w:pPr>
      <w:ind w:left="100" w:leftChars="2500"/>
    </w:pPr>
  </w:style>
  <w:style w:type="paragraph" w:styleId="5">
    <w:name w:val="Balloon Text"/>
    <w:basedOn w:val="1"/>
    <w:link w:val="14"/>
    <w:semiHidden/>
    <w:unhideWhenUsed/>
    <w:uiPriority w:val="99"/>
    <w:rPr>
      <w:sz w:val="18"/>
      <w:szCs w:val="18"/>
    </w:rPr>
  </w:style>
  <w:style w:type="paragraph" w:styleId="6">
    <w:name w:val="footer"/>
    <w:basedOn w:val="1"/>
    <w:link w:val="17"/>
    <w:uiPriority w:val="99"/>
    <w:pPr>
      <w:tabs>
        <w:tab w:val="center" w:pos="4153"/>
        <w:tab w:val="right" w:pos="8306"/>
      </w:tabs>
      <w:snapToGrid w:val="0"/>
      <w:jc w:val="left"/>
    </w:pPr>
    <w:rPr>
      <w:sz w:val="18"/>
    </w:rPr>
  </w:style>
  <w:style w:type="paragraph" w:styleId="7">
    <w:name w:val="header"/>
    <w:basedOn w:val="1"/>
    <w:link w:val="16"/>
    <w:uiPriority w:val="99"/>
    <w:pPr>
      <w:tabs>
        <w:tab w:val="center" w:pos="4153"/>
        <w:tab w:val="right" w:pos="8306"/>
      </w:tabs>
      <w:snapToGrid w:val="0"/>
    </w:pPr>
    <w:rPr>
      <w:sz w:val="18"/>
    </w:rPr>
  </w:style>
  <w:style w:type="paragraph" w:styleId="8">
    <w:name w:val="Normal (Web)"/>
    <w:basedOn w:val="1"/>
    <w:uiPriority w:val="0"/>
    <w:pPr>
      <w:spacing w:beforeAutospacing="1" w:afterAutospacing="1"/>
      <w:jc w:val="left"/>
    </w:pPr>
    <w:rPr>
      <w:kern w:val="0"/>
      <w:sz w:val="24"/>
    </w:rPr>
  </w:style>
  <w:style w:type="character" w:styleId="11">
    <w:name w:val="Strong"/>
    <w:basedOn w:val="10"/>
    <w:uiPriority w:val="0"/>
    <w:rPr>
      <w:b/>
      <w:bCs/>
    </w:rPr>
  </w:style>
  <w:style w:type="character" w:styleId="12">
    <w:name w:val="annotation reference"/>
    <w:basedOn w:val="10"/>
    <w:semiHidden/>
    <w:unhideWhenUsed/>
    <w:uiPriority w:val="99"/>
    <w:rPr>
      <w:sz w:val="21"/>
      <w:szCs w:val="21"/>
    </w:rPr>
  </w:style>
  <w:style w:type="paragraph" w:customStyle="1" w:styleId="13">
    <w:name w:val="p0"/>
    <w:basedOn w:val="1"/>
    <w:uiPriority w:val="0"/>
    <w:pPr>
      <w:widowControl/>
    </w:pPr>
    <w:rPr>
      <w:rFonts w:cs="宋体"/>
      <w:kern w:val="0"/>
      <w:szCs w:val="32"/>
    </w:rPr>
  </w:style>
  <w:style w:type="character" w:customStyle="1" w:styleId="14">
    <w:name w:val="批注框文本 字符"/>
    <w:basedOn w:val="10"/>
    <w:link w:val="5"/>
    <w:semiHidden/>
    <w:uiPriority w:val="99"/>
    <w:rPr>
      <w:rFonts w:ascii="Calibri" w:hAnsi="Calibri" w:cs="Arial"/>
      <w:kern w:val="2"/>
      <w:sz w:val="18"/>
      <w:szCs w:val="18"/>
    </w:rPr>
  </w:style>
  <w:style w:type="character" w:customStyle="1" w:styleId="15">
    <w:name w:val="日期 字符"/>
    <w:basedOn w:val="10"/>
    <w:link w:val="4"/>
    <w:semiHidden/>
    <w:uiPriority w:val="99"/>
    <w:rPr>
      <w:rFonts w:ascii="Calibri" w:hAnsi="Calibri" w:cs="Arial"/>
      <w:kern w:val="2"/>
      <w:sz w:val="21"/>
      <w:szCs w:val="24"/>
    </w:rPr>
  </w:style>
  <w:style w:type="character" w:customStyle="1" w:styleId="16">
    <w:name w:val="页眉 字符"/>
    <w:basedOn w:val="10"/>
    <w:link w:val="7"/>
    <w:uiPriority w:val="99"/>
    <w:rPr>
      <w:rFonts w:ascii="Calibri" w:hAnsi="Calibri" w:cs="Arial"/>
      <w:kern w:val="2"/>
      <w:sz w:val="18"/>
      <w:szCs w:val="24"/>
    </w:rPr>
  </w:style>
  <w:style w:type="character" w:customStyle="1" w:styleId="17">
    <w:name w:val="页脚 字符"/>
    <w:basedOn w:val="10"/>
    <w:link w:val="6"/>
    <w:uiPriority w:val="99"/>
    <w:rPr>
      <w:rFonts w:ascii="Calibri" w:hAnsi="Calibri" w:cs="Arial"/>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E09E53-4738-45C5-8E51-4A1C670A6478}">
  <ds:schemaRefs/>
</ds:datastoreItem>
</file>

<file path=docProps/app.xml><?xml version="1.0" encoding="utf-8"?>
<Properties xmlns="http://schemas.openxmlformats.org/officeDocument/2006/extended-properties" xmlns:vt="http://schemas.openxmlformats.org/officeDocument/2006/docPropsVTypes">
  <Template>Normal</Template>
  <Pages>5</Pages>
  <Words>1789</Words>
  <Characters>1828</Characters>
  <Lines>13</Lines>
  <Paragraphs>3</Paragraphs>
  <TotalTime>33</TotalTime>
  <ScaleCrop>false</ScaleCrop>
  <LinksUpToDate>false</LinksUpToDate>
  <CharactersWithSpaces>1907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涂涂</cp:lastModifiedBy>
  <cp:lastPrinted>2022-06-06T16:09:00Z</cp:lastPrinted>
  <dcterms:modified xsi:type="dcterms:W3CDTF">2022-08-08T09:05:33Z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48C61CB29D3F4D9384F5922CF0F7FFB4</vt:lpwstr>
  </property>
</Properties>
</file>