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spacing w:line="590" w:lineRule="exact"/>
        <w:textAlignment w:val="auto"/>
        <w:rPr>
          <w:rFonts w:hAnsi="方正小标宋_GBK" w:eastAsia="方正小标宋_GBK" w:cs="方正小标宋_GBK"/>
          <w:kern w:val="0"/>
          <w:sz w:val="44"/>
          <w:szCs w:val="44"/>
        </w:rPr>
      </w:pPr>
    </w:p>
    <w:p>
      <w:pPr>
        <w:pStyle w:val="2"/>
        <w:keepNext w:val="0"/>
        <w:keepLines w:val="0"/>
        <w:pageBreakBefore w:val="0"/>
        <w:widowControl w:val="0"/>
        <w:kinsoku/>
        <w:overflowPunct/>
        <w:topLinePunct w:val="0"/>
        <w:autoSpaceDE/>
        <w:autoSpaceDN/>
        <w:bidi w:val="0"/>
        <w:snapToGrid/>
        <w:spacing w:line="590" w:lineRule="exact"/>
        <w:jc w:val="both"/>
        <w:textAlignment w:val="auto"/>
        <w:rPr>
          <w:rFonts w:hint="eastAsia"/>
        </w:rPr>
      </w:pPr>
    </w:p>
    <w:p>
      <w:pPr>
        <w:pStyle w:val="2"/>
        <w:keepNext w:val="0"/>
        <w:keepLines w:val="0"/>
        <w:pageBreakBefore w:val="0"/>
        <w:widowControl w:val="0"/>
        <w:kinsoku/>
        <w:overflowPunct/>
        <w:topLinePunct w:val="0"/>
        <w:autoSpaceDE/>
        <w:autoSpaceDN/>
        <w:bidi w:val="0"/>
        <w:adjustRightInd w:val="0"/>
        <w:snapToGrid/>
        <w:spacing w:line="590" w:lineRule="exact"/>
        <w:textAlignment w:val="auto"/>
        <w:rPr>
          <w:rFonts w:hint="eastAsia" w:hAnsi="方正小标宋_GBK" w:eastAsia="方正小标宋_GBK" w:cs="方正小标宋_GBK"/>
          <w:b w:val="0"/>
          <w:bCs/>
          <w:kern w:val="0"/>
          <w:sz w:val="44"/>
          <w:szCs w:val="44"/>
        </w:rPr>
      </w:pPr>
      <w:r>
        <w:rPr>
          <w:rFonts w:hint="eastAsia" w:hAnsi="方正小标宋_GBK" w:eastAsia="方正小标宋_GBK" w:cs="方正小标宋_GBK"/>
          <w:b w:val="0"/>
          <w:bCs/>
          <w:kern w:val="0"/>
          <w:sz w:val="44"/>
          <w:szCs w:val="44"/>
        </w:rPr>
        <w:t>重庆市金融工作局</w:t>
      </w:r>
    </w:p>
    <w:p>
      <w:pPr>
        <w:pStyle w:val="2"/>
        <w:keepNext w:val="0"/>
        <w:keepLines w:val="0"/>
        <w:pageBreakBefore w:val="0"/>
        <w:widowControl w:val="0"/>
        <w:kinsoku/>
        <w:overflowPunct/>
        <w:topLinePunct w:val="0"/>
        <w:autoSpaceDE/>
        <w:autoSpaceDN/>
        <w:bidi w:val="0"/>
        <w:adjustRightInd w:val="0"/>
        <w:snapToGrid/>
        <w:spacing w:line="590" w:lineRule="exact"/>
        <w:textAlignment w:val="auto"/>
        <w:rPr>
          <w:rFonts w:hint="eastAsia" w:hAnsi="方正小标宋_GBK" w:eastAsia="方正小标宋_GBK" w:cs="方正小标宋_GBK"/>
          <w:b w:val="0"/>
          <w:bCs/>
          <w:kern w:val="0"/>
          <w:sz w:val="44"/>
          <w:szCs w:val="44"/>
        </w:rPr>
      </w:pPr>
      <w:r>
        <w:rPr>
          <w:rFonts w:hint="eastAsia" w:hAnsi="方正小标宋_GBK" w:eastAsia="方正小标宋_GBK" w:cs="方正小标宋_GBK"/>
          <w:b w:val="0"/>
          <w:bCs/>
          <w:kern w:val="0"/>
          <w:sz w:val="44"/>
          <w:szCs w:val="44"/>
        </w:rPr>
        <w:t>重庆市水利局</w:t>
      </w:r>
    </w:p>
    <w:p>
      <w:pPr>
        <w:pStyle w:val="2"/>
        <w:keepNext w:val="0"/>
        <w:keepLines w:val="0"/>
        <w:pageBreakBefore w:val="0"/>
        <w:widowControl w:val="0"/>
        <w:kinsoku/>
        <w:overflowPunct/>
        <w:topLinePunct w:val="0"/>
        <w:autoSpaceDE/>
        <w:autoSpaceDN/>
        <w:bidi w:val="0"/>
        <w:adjustRightInd w:val="0"/>
        <w:snapToGrid/>
        <w:spacing w:line="590" w:lineRule="exact"/>
        <w:textAlignment w:val="auto"/>
        <w:rPr>
          <w:rFonts w:hint="eastAsia" w:hAnsi="方正小标宋_GBK" w:eastAsia="方正小标宋_GBK" w:cs="方正小标宋_GBK"/>
          <w:b w:val="0"/>
          <w:bCs/>
          <w:kern w:val="0"/>
          <w:sz w:val="44"/>
          <w:szCs w:val="44"/>
        </w:rPr>
      </w:pPr>
      <w:r>
        <w:rPr>
          <w:rFonts w:hint="eastAsia" w:hAnsi="方正小标宋_GBK" w:eastAsia="方正小标宋_GBK" w:cs="方正小标宋_GBK"/>
          <w:b w:val="0"/>
          <w:bCs/>
          <w:kern w:val="0"/>
          <w:sz w:val="44"/>
          <w:szCs w:val="44"/>
        </w:rPr>
        <w:t>中国银行保险监督管理委员会重庆监管局</w:t>
      </w:r>
    </w:p>
    <w:p>
      <w:pPr>
        <w:pStyle w:val="2"/>
        <w:keepNext w:val="0"/>
        <w:keepLines w:val="0"/>
        <w:pageBreakBefore w:val="0"/>
        <w:widowControl w:val="0"/>
        <w:kinsoku/>
        <w:overflowPunct/>
        <w:topLinePunct w:val="0"/>
        <w:autoSpaceDE/>
        <w:autoSpaceDN/>
        <w:bidi w:val="0"/>
        <w:adjustRightInd w:val="0"/>
        <w:snapToGrid/>
        <w:spacing w:line="590" w:lineRule="exact"/>
        <w:textAlignment w:val="auto"/>
        <w:rPr>
          <w:rFonts w:hint="eastAsia" w:hAnsi="方正小标宋_GBK" w:eastAsia="方正小标宋_GBK" w:cs="方正小标宋_GBK"/>
          <w:b w:val="0"/>
          <w:bCs/>
          <w:kern w:val="0"/>
          <w:sz w:val="44"/>
          <w:szCs w:val="44"/>
        </w:rPr>
      </w:pPr>
      <w:r>
        <w:rPr>
          <w:rFonts w:hint="eastAsia" w:hAnsi="方正小标宋_GBK" w:eastAsia="方正小标宋_GBK" w:cs="方正小标宋_GBK"/>
          <w:b w:val="0"/>
          <w:bCs/>
          <w:kern w:val="0"/>
          <w:sz w:val="44"/>
          <w:szCs w:val="44"/>
        </w:rPr>
        <w:t>中国证券监督管理委员会重庆监管局</w:t>
      </w:r>
    </w:p>
    <w:p>
      <w:pPr>
        <w:pStyle w:val="2"/>
        <w:keepNext w:val="0"/>
        <w:keepLines w:val="0"/>
        <w:pageBreakBefore w:val="0"/>
        <w:widowControl w:val="0"/>
        <w:kinsoku/>
        <w:overflowPunct/>
        <w:topLinePunct w:val="0"/>
        <w:autoSpaceDE/>
        <w:autoSpaceDN/>
        <w:bidi w:val="0"/>
        <w:adjustRightInd w:val="0"/>
        <w:snapToGrid/>
        <w:spacing w:line="590" w:lineRule="exact"/>
        <w:textAlignment w:val="auto"/>
        <w:rPr>
          <w:rFonts w:hint="eastAsia" w:hAnsi="方正小标宋_GBK" w:eastAsia="方正小标宋_GBK" w:cs="方正小标宋_GBK"/>
          <w:b w:val="0"/>
          <w:bCs/>
          <w:kern w:val="0"/>
          <w:sz w:val="44"/>
          <w:szCs w:val="44"/>
        </w:rPr>
      </w:pPr>
      <w:r>
        <w:rPr>
          <w:rFonts w:hint="eastAsia" w:hAnsi="方正小标宋_GBK" w:eastAsia="方正小标宋_GBK" w:cs="方正小标宋_GBK"/>
          <w:b w:val="0"/>
          <w:bCs/>
          <w:kern w:val="0"/>
          <w:sz w:val="44"/>
          <w:szCs w:val="44"/>
        </w:rPr>
        <w:t xml:space="preserve"> 关于印发重庆市深入推进金融服务水利基础设施高质量发展若干措施的通知</w:t>
      </w:r>
    </w:p>
    <w:p>
      <w:pPr>
        <w:pStyle w:val="2"/>
        <w:keepNext w:val="0"/>
        <w:keepLines w:val="0"/>
        <w:pageBreakBefore w:val="0"/>
        <w:widowControl w:val="0"/>
        <w:kinsoku/>
        <w:overflowPunct/>
        <w:topLinePunct w:val="0"/>
        <w:autoSpaceDE/>
        <w:autoSpaceDN/>
        <w:bidi w:val="0"/>
        <w:adjustRightInd w:val="0"/>
        <w:snapToGrid/>
        <w:spacing w:line="590" w:lineRule="exact"/>
        <w:textAlignment w:val="auto"/>
        <w:rPr>
          <w:rFonts w:hint="eastAsia" w:hAnsi="方正小标宋_GBK" w:eastAsia="方正小标宋_GBK" w:cs="方正小标宋_GBK"/>
          <w:b w:val="0"/>
          <w:kern w:val="0"/>
          <w:sz w:val="44"/>
          <w:szCs w:val="44"/>
        </w:rPr>
      </w:pPr>
    </w:p>
    <w:p>
      <w:pPr>
        <w:topLinePunct/>
        <w:adjustRightInd w:val="0"/>
        <w:spacing w:line="590" w:lineRule="exact"/>
        <w:jc w:val="center"/>
        <w:rPr>
          <w:rFonts w:hint="eastAsia" w:hAnsi="方正小标宋_GBK" w:eastAsia="方正小标宋_GBK" w:cs="方正小标宋_GBK"/>
          <w:b w:val="0"/>
          <w:kern w:val="0"/>
          <w:sz w:val="44"/>
          <w:szCs w:val="44"/>
        </w:rPr>
      </w:pPr>
      <w:r>
        <w:rPr>
          <w:rFonts w:hint="eastAsia"/>
          <w:kern w:val="0"/>
          <w:szCs w:val="32"/>
        </w:rPr>
        <w:t>渝金发〔202</w:t>
      </w:r>
      <w:r>
        <w:rPr>
          <w:rFonts w:hint="eastAsia"/>
          <w:kern w:val="0"/>
          <w:szCs w:val="32"/>
          <w:lang w:val="en-US" w:eastAsia="zh-CN"/>
        </w:rPr>
        <w:t>3</w:t>
      </w:r>
      <w:r>
        <w:rPr>
          <w:rFonts w:hint="eastAsia"/>
          <w:kern w:val="0"/>
          <w:szCs w:val="32"/>
        </w:rPr>
        <w:t>〕</w:t>
      </w:r>
      <w:r>
        <w:rPr>
          <w:rFonts w:hint="eastAsia"/>
          <w:kern w:val="0"/>
          <w:szCs w:val="32"/>
          <w:lang w:val="en-US" w:eastAsia="zh-CN"/>
        </w:rPr>
        <w:t>2</w:t>
      </w:r>
      <w:r>
        <w:rPr>
          <w:rFonts w:hint="eastAsia"/>
          <w:kern w:val="0"/>
          <w:szCs w:val="32"/>
        </w:rPr>
        <w:t>号</w:t>
      </w:r>
    </w:p>
    <w:p>
      <w:pPr>
        <w:keepNext w:val="0"/>
        <w:keepLines w:val="0"/>
        <w:pageBreakBefore w:val="0"/>
        <w:widowControl w:val="0"/>
        <w:kinsoku/>
        <w:overflowPunct/>
        <w:topLinePunct w:val="0"/>
        <w:autoSpaceDE/>
        <w:autoSpaceDN/>
        <w:bidi w:val="0"/>
        <w:snapToGrid/>
        <w:spacing w:line="590" w:lineRule="exact"/>
        <w:ind w:firstLine="640" w:firstLineChars="200"/>
        <w:textAlignment w:val="auto"/>
        <w:rPr>
          <w:rFonts w:ascii="Times New Roman" w:hAnsi="Times New Roman" w:eastAsia="方正仿宋_GBK" w:cs="CESI仿宋-GB18030"/>
          <w:color w:val="000000" w:themeColor="text1"/>
          <w:sz w:val="32"/>
          <w:szCs w:val="32"/>
          <w14:textFill>
            <w14:solidFill>
              <w14:schemeClr w14:val="tx1"/>
            </w14:solidFill>
          </w14:textFill>
        </w:rPr>
      </w:pPr>
    </w:p>
    <w:p>
      <w:pPr>
        <w:spacing w:line="590" w:lineRule="exact"/>
        <w:rPr>
          <w:rFonts w:ascii="Times New Roman" w:hAnsi="Times New Roman" w:eastAsia="方正仿宋_GBK" w:cs="方正仿宋_GBK"/>
          <w:sz w:val="32"/>
          <w:szCs w:val="32"/>
        </w:rPr>
      </w:pPr>
      <w:r>
        <w:rPr>
          <w:rFonts w:hint="eastAsia" w:ascii="方正仿宋_GBK"/>
          <w:szCs w:val="32"/>
        </w:rPr>
        <w:t>各区县（自治县）、两江新区、西部科学城重庆高新区、万盛经开区金融、水利工作管理部门，各银保监分局，有关金融机构：</w:t>
      </w:r>
    </w:p>
    <w:p>
      <w:pPr>
        <w:spacing w:line="590" w:lineRule="exact"/>
        <w:ind w:firstLine="640" w:firstLineChars="200"/>
        <w:rPr>
          <w:rFonts w:ascii="方正仿宋_GBK"/>
          <w:szCs w:val="32"/>
        </w:rPr>
      </w:pPr>
      <w:r>
        <w:rPr>
          <w:rFonts w:hint="eastAsia" w:ascii="方正仿宋_GBK"/>
          <w:szCs w:val="32"/>
        </w:rPr>
        <w:t>为贯彻落实市委、市政府决策部署，服务现代化水利基础设施建设发展，积极推进金融服务水利模式创新，保证地方水安全，按照《重庆市深化水利投融资改革创新十条政策措施》要求，特制定重庆市深入推进金融服务水利基础设施高质量发展若干措施。</w:t>
      </w:r>
    </w:p>
    <w:p>
      <w:pPr>
        <w:spacing w:line="59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一、总体要求</w:t>
      </w:r>
    </w:p>
    <w:p>
      <w:pPr>
        <w:spacing w:line="590" w:lineRule="exact"/>
        <w:ind w:firstLine="640" w:firstLineChars="200"/>
        <w:rPr>
          <w:rFonts w:ascii="方正仿宋_GBK"/>
        </w:rPr>
      </w:pPr>
      <w:r>
        <w:rPr>
          <w:rFonts w:hint="eastAsia" w:ascii="方正仿宋_GBK"/>
          <w:szCs w:val="32"/>
        </w:rPr>
        <w:t>以习近平新时代中国特色社会主义思想为指导，全面贯彻落实党的二十大精神，深入贯彻落实习近平总书记关于金融和治水工作重要论述，完整、准确、全面贯彻新发展理念，按照市委六届二次全会和“一号工程”部署要求，加快构建现代化水利基础设施体系，推动新阶段水利高质量发展，进一步加大金融支持水利基础设施融资力度。</w:t>
      </w:r>
    </w:p>
    <w:p>
      <w:pPr>
        <w:spacing w:line="590" w:lineRule="exact"/>
        <w:ind w:firstLine="640" w:firstLineChars="200"/>
        <w:rPr>
          <w:rFonts w:eastAsia="方正黑体_GBK"/>
          <w:szCs w:val="32"/>
        </w:rPr>
      </w:pPr>
      <w:r>
        <w:rPr>
          <w:rFonts w:hint="eastAsia" w:eastAsia="方正黑体_GBK"/>
          <w:szCs w:val="32"/>
        </w:rPr>
        <w:t>二、优化银行信贷金融服务</w:t>
      </w:r>
    </w:p>
    <w:p>
      <w:pPr>
        <w:pBdr>
          <w:bottom w:val="single" w:color="FFFFFF" w:sz="4" w:space="31"/>
        </w:pBdr>
        <w:tabs>
          <w:tab w:val="left" w:pos="1440"/>
        </w:tabs>
        <w:spacing w:line="590" w:lineRule="exact"/>
        <w:ind w:firstLine="640" w:firstLineChars="200"/>
        <w:rPr>
          <w:rFonts w:ascii="方正仿宋_GBK"/>
          <w:szCs w:val="32"/>
        </w:rPr>
      </w:pPr>
      <w:r>
        <w:rPr>
          <w:rFonts w:hint="eastAsia" w:ascii="方正仿宋_GBK"/>
          <w:szCs w:val="32"/>
        </w:rPr>
        <w:t>根据水利基础设施项目公益性强、投资规模大、建设工期长、回收周期长等特点，积极推动金融机构建立差异化信贷政策。</w:t>
      </w:r>
      <w:r>
        <w:rPr>
          <w:szCs w:val="32"/>
        </w:rPr>
        <w:t>引导政策性、开发性银行用好政策性金融资金，发挥</w:t>
      </w:r>
      <w:r>
        <w:rPr>
          <w:rFonts w:hint="eastAsia" w:ascii="方正仿宋_GBK"/>
          <w:szCs w:val="32"/>
        </w:rPr>
        <w:t>“贷款期限长、额度大、成本低”等</w:t>
      </w:r>
      <w:r>
        <w:rPr>
          <w:szCs w:val="32"/>
        </w:rPr>
        <w:t>优势，积极服务国家级重大水利项目建设。引导大型国有银行发挥资金和网点优势，加大对商业可持续水利项目的信贷投放。支持中小银行立足辖区实际，对有还款能力、切实可行的农田水利等中小型水利项目，给予积极信贷支持。</w:t>
      </w:r>
      <w:r>
        <w:rPr>
          <w:rFonts w:hint="eastAsia" w:ascii="方正仿宋_GBK"/>
          <w:szCs w:val="32"/>
        </w:rPr>
        <w:t>支持金融机构在贷款期限、贷款利率、还款计划、还款来源、资本金比例、担保方式等方面实行更优惠的政策。</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（一）支持合理设置贷款期限。</w:t>
      </w:r>
      <w:r>
        <w:rPr>
          <w:szCs w:val="32"/>
        </w:rPr>
        <w:t>各银行机构在依法合规的前提下，根据总行信贷政策，按照市场化、法治化原则，结合水利行业特性、借款人资信状况、项目建设运营周期、项目偿债能力等因素合理确定贷款期限</w:t>
      </w:r>
      <w:r>
        <w:rPr>
          <w:rFonts w:hint="eastAsia"/>
          <w:szCs w:val="32"/>
        </w:rPr>
        <w:t>，提升项目贷款期限与项目运营回收期限匹配度</w:t>
      </w:r>
      <w:r>
        <w:rPr>
          <w:szCs w:val="32"/>
        </w:rPr>
        <w:t>。</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（二）支持创新贷款信用结构。</w:t>
      </w:r>
      <w:r>
        <w:rPr>
          <w:szCs w:val="32"/>
        </w:rPr>
        <w:t>鼓励积极采取信用方式支持水利融资需求；支持依法创新水利水电资产纳入合格担保范畴，根据项目实际，采取保证担保、抵押担保、供水供电污水处理收益权质押担保、供水特许经营权质押担保、PPP协议项下应收账款质押担保、补贴款（专户）质押等多种担保方式。</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（三）支持优化水利融资成本。</w:t>
      </w:r>
      <w:r>
        <w:rPr>
          <w:szCs w:val="32"/>
        </w:rPr>
        <w:t>鼓励金融机构设立水利专项贷款，对水利基础设施给予优惠利率定价；积极争取</w:t>
      </w:r>
      <w:r>
        <w:rPr>
          <w:rFonts w:hint="eastAsia"/>
          <w:szCs w:val="32"/>
        </w:rPr>
        <w:t>区县</w:t>
      </w:r>
      <w:r>
        <w:rPr>
          <w:szCs w:val="32"/>
        </w:rPr>
        <w:t>人民政府给予贴息等政策优惠，多举措降低水利贷款融资利率。</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（四）支持优化项目资本金管理。</w:t>
      </w:r>
      <w:r>
        <w:t>鼓励金融机构在依法合规的前提下，根据各总行风险防控政策，按照市场化、法治化原则，积极拓宽项目资本金认定范围；针对</w:t>
      </w:r>
      <w:r>
        <w:rPr>
          <w:szCs w:val="32"/>
        </w:rPr>
        <w:t>社会民生补短板水利基础设施项目，在投资回报机制明确、收益可靠、风险可控的前提下，积极</w:t>
      </w:r>
      <w:r>
        <w:t>优化资本金比例要求</w:t>
      </w:r>
      <w:r>
        <w:rPr>
          <w:szCs w:val="32"/>
        </w:rPr>
        <w:t>。</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（五）支持合理审批贷款额度。</w:t>
      </w:r>
      <w:r>
        <w:rPr>
          <w:szCs w:val="32"/>
        </w:rPr>
        <w:t>支持金融机构综合考量借款人综合现金流、项目建设实际需要、项目综合收益、风险承受能力及所提供的风险保障措施等因素，并结合已完工水利项目建设投融资情况，合理确定贷款额度，保障水利项目建设快速推进。</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（六）积极拓宽贷款还款来源。</w:t>
      </w:r>
      <w:r>
        <w:rPr>
          <w:bCs/>
          <w:color w:val="000000"/>
          <w:szCs w:val="32"/>
        </w:rPr>
        <w:t>水利投资主体需考虑水利项目收益不高、贷款回收期长的特点，在水利项目</w:t>
      </w:r>
      <w:r>
        <w:rPr>
          <w:rFonts w:hint="eastAsia"/>
          <w:bCs/>
          <w:color w:val="000000"/>
          <w:szCs w:val="32"/>
        </w:rPr>
        <w:t>初步设计</w:t>
      </w:r>
      <w:r>
        <w:rPr>
          <w:bCs/>
          <w:color w:val="000000"/>
          <w:szCs w:val="32"/>
        </w:rPr>
        <w:t>、</w:t>
      </w:r>
      <w:r>
        <w:rPr>
          <w:szCs w:val="32"/>
        </w:rPr>
        <w:t>可行性研究报告</w:t>
      </w:r>
      <w:r>
        <w:rPr>
          <w:bCs/>
          <w:color w:val="000000"/>
          <w:szCs w:val="32"/>
        </w:rPr>
        <w:t>等前期阶段，结合项目所处区位、水面特性等</w:t>
      </w:r>
      <w:r>
        <w:rPr>
          <w:szCs w:val="32"/>
        </w:rPr>
        <w:t>依法拓宽水利设施运营还款资金来源。</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（七）积极推动提升服务质效。</w:t>
      </w:r>
      <w:r>
        <w:rPr>
          <w:szCs w:val="32"/>
        </w:rPr>
        <w:t>鼓励各银行分支机构联动水利部门，提高水利项目在</w:t>
      </w:r>
      <w:r>
        <w:rPr>
          <w:rFonts w:hint="eastAsia"/>
          <w:szCs w:val="32"/>
        </w:rPr>
        <w:t>初步设计</w:t>
      </w:r>
      <w:r>
        <w:rPr>
          <w:szCs w:val="32"/>
        </w:rPr>
        <w:t>、可行性研究报告等前期阶段的金融服务；进一步优化水利金融服务流程，提高金融服务质效，鼓励各金融机构结合业务特点在尽职调查、风险评估、合规审查、信贷管理等方面采取个性化、差异化、便捷化的服务措施，快速高效推动金融服务水利的质量与效率。</w:t>
      </w:r>
    </w:p>
    <w:p>
      <w:pPr>
        <w:pBdr>
          <w:bottom w:val="single" w:color="FFFFFF" w:sz="4" w:space="31"/>
        </w:pBdr>
        <w:tabs>
          <w:tab w:val="left" w:pos="1440"/>
        </w:tabs>
        <w:spacing w:line="590" w:lineRule="exact"/>
        <w:ind w:firstLine="640" w:firstLineChars="200"/>
        <w:rPr>
          <w:rFonts w:eastAsia="方正黑体_GBK"/>
          <w:szCs w:val="32"/>
        </w:rPr>
      </w:pPr>
      <w:r>
        <w:rPr>
          <w:rFonts w:eastAsia="方正黑体_GBK"/>
          <w:szCs w:val="32"/>
        </w:rPr>
        <w:t>三、引导多层次金融服务</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（一）激发非银金融主体活力。</w:t>
      </w:r>
      <w:r>
        <w:rPr>
          <w:szCs w:val="32"/>
        </w:rPr>
        <w:t>支持保险、信托、担保、金融资产管理、股权投资基金等机构，充分发挥各自优势，按照市场化原则积极参与水利建设。支持担保公司、保险公司、证券公司、信托公司、租赁公司和基金公司等聚焦主业，发挥自身金融功能投入水利领域。</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（二）探索设立水利投资基金。</w:t>
      </w:r>
      <w:r>
        <w:rPr>
          <w:szCs w:val="32"/>
        </w:rPr>
        <w:t>鼓励市级、区县级投融资企业按照市场化运作原则，与银行、保险、基金等金融资本及其他社会资本合作设立水利投资基金。探索结合乡村振兴、城乡供水一体化、农村饮水安全等方向设立子基金，有效解决全市城乡防洪抗旱、饮水安全等水利项目多元化资金来源问题。</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（三）创新推动盘活存量资产金融服务。</w:t>
      </w:r>
      <w:r>
        <w:rPr>
          <w:szCs w:val="32"/>
        </w:rPr>
        <w:t>支持各类金融主体通过并购贷款、开展资产证券化（ABS）、发行不动产信托投资基金（REITs）等多种方式参与盘活存量水利资产，支持区县投融资平台通过无偿划转、协议转让、资产置换等方式，提升主体资信；支持水利资产重组，统筹准公益性、经营性项目收入以提升水利资产收益率，加快推进水利项目可持续发展。</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（四）探索推广多模式的配套金融服务。</w:t>
      </w:r>
      <w:r>
        <w:rPr>
          <w:szCs w:val="32"/>
        </w:rPr>
        <w:t>探索推广水利项目主体采取转让项目经营权、收费权和采用政府与社会资本合作（PPP）、建设</w:t>
      </w:r>
      <w:r>
        <w:rPr>
          <w:rFonts w:hint="eastAsia"/>
          <w:szCs w:val="32"/>
        </w:rPr>
        <w:t>－</w:t>
      </w:r>
      <w:r>
        <w:rPr>
          <w:szCs w:val="32"/>
        </w:rPr>
        <w:t>运营</w:t>
      </w:r>
      <w:r>
        <w:rPr>
          <w:rFonts w:hint="eastAsia"/>
          <w:szCs w:val="32"/>
        </w:rPr>
        <w:t>－</w:t>
      </w:r>
      <w:r>
        <w:rPr>
          <w:szCs w:val="32"/>
        </w:rPr>
        <w:t>移交</w:t>
      </w:r>
      <w:r>
        <w:rPr>
          <w:rFonts w:hint="eastAsia"/>
          <w:szCs w:val="32"/>
        </w:rPr>
        <w:t>（</w:t>
      </w:r>
      <w:r>
        <w:rPr>
          <w:szCs w:val="32"/>
        </w:rPr>
        <w:t>BOT</w:t>
      </w:r>
      <w:r>
        <w:rPr>
          <w:rFonts w:hint="eastAsia"/>
          <w:szCs w:val="32"/>
        </w:rPr>
        <w:t>）</w:t>
      </w:r>
      <w:r>
        <w:rPr>
          <w:szCs w:val="32"/>
        </w:rPr>
        <w:t>、建设</w:t>
      </w:r>
      <w:r>
        <w:rPr>
          <w:rFonts w:hint="eastAsia"/>
          <w:szCs w:val="32"/>
        </w:rPr>
        <w:t>－</w:t>
      </w:r>
      <w:r>
        <w:rPr>
          <w:szCs w:val="32"/>
        </w:rPr>
        <w:t>拥有</w:t>
      </w:r>
      <w:r>
        <w:rPr>
          <w:rFonts w:hint="eastAsia"/>
          <w:szCs w:val="32"/>
        </w:rPr>
        <w:t>－</w:t>
      </w:r>
      <w:r>
        <w:rPr>
          <w:szCs w:val="32"/>
        </w:rPr>
        <w:t>运营</w:t>
      </w:r>
      <w:r>
        <w:rPr>
          <w:rFonts w:hint="eastAsia"/>
          <w:szCs w:val="32"/>
        </w:rPr>
        <w:t>（</w:t>
      </w:r>
      <w:r>
        <w:rPr>
          <w:szCs w:val="32"/>
        </w:rPr>
        <w:t>BOO</w:t>
      </w:r>
      <w:r>
        <w:rPr>
          <w:rFonts w:hint="eastAsia"/>
          <w:szCs w:val="32"/>
        </w:rPr>
        <w:t>）</w:t>
      </w:r>
      <w:r>
        <w:rPr>
          <w:szCs w:val="32"/>
        </w:rPr>
        <w:t>、建设</w:t>
      </w:r>
      <w:r>
        <w:rPr>
          <w:rFonts w:hint="eastAsia"/>
          <w:szCs w:val="32"/>
        </w:rPr>
        <w:t>－</w:t>
      </w:r>
      <w:r>
        <w:rPr>
          <w:szCs w:val="32"/>
        </w:rPr>
        <w:t>拥有</w:t>
      </w:r>
      <w:r>
        <w:rPr>
          <w:rFonts w:hint="eastAsia"/>
          <w:szCs w:val="32"/>
        </w:rPr>
        <w:t>－</w:t>
      </w:r>
      <w:r>
        <w:rPr>
          <w:szCs w:val="32"/>
        </w:rPr>
        <w:t>经营</w:t>
      </w:r>
      <w:r>
        <w:rPr>
          <w:rFonts w:hint="eastAsia"/>
          <w:szCs w:val="32"/>
        </w:rPr>
        <w:t>－</w:t>
      </w:r>
      <w:r>
        <w:rPr>
          <w:szCs w:val="32"/>
        </w:rPr>
        <w:t>转让</w:t>
      </w:r>
      <w:r>
        <w:rPr>
          <w:rFonts w:hint="eastAsia"/>
          <w:szCs w:val="32"/>
        </w:rPr>
        <w:t>（</w:t>
      </w:r>
      <w:r>
        <w:rPr>
          <w:szCs w:val="32"/>
        </w:rPr>
        <w:t>BOOT</w:t>
      </w:r>
      <w:r>
        <w:rPr>
          <w:rFonts w:hint="eastAsia"/>
          <w:szCs w:val="32"/>
        </w:rPr>
        <w:t>）</w:t>
      </w:r>
      <w:r>
        <w:rPr>
          <w:szCs w:val="32"/>
        </w:rPr>
        <w:t>、转让</w:t>
      </w:r>
      <w:r>
        <w:rPr>
          <w:rFonts w:hint="eastAsia"/>
          <w:szCs w:val="32"/>
        </w:rPr>
        <w:t>－</w:t>
      </w:r>
      <w:r>
        <w:rPr>
          <w:szCs w:val="32"/>
        </w:rPr>
        <w:t>运营</w:t>
      </w:r>
      <w:r>
        <w:rPr>
          <w:rFonts w:hint="eastAsia"/>
          <w:szCs w:val="32"/>
        </w:rPr>
        <w:t>－</w:t>
      </w:r>
      <w:r>
        <w:rPr>
          <w:szCs w:val="32"/>
        </w:rPr>
        <w:t>移交</w:t>
      </w:r>
      <w:r>
        <w:rPr>
          <w:rFonts w:hint="eastAsia"/>
          <w:szCs w:val="32"/>
        </w:rPr>
        <w:t>（</w:t>
      </w:r>
      <w:r>
        <w:rPr>
          <w:szCs w:val="32"/>
        </w:rPr>
        <w:t>TOT</w:t>
      </w:r>
      <w:r>
        <w:rPr>
          <w:rFonts w:hint="eastAsia"/>
          <w:szCs w:val="32"/>
        </w:rPr>
        <w:t>）</w:t>
      </w:r>
      <w:r>
        <w:rPr>
          <w:szCs w:val="32"/>
        </w:rPr>
        <w:t>、委托运营</w:t>
      </w:r>
      <w:r>
        <w:rPr>
          <w:rFonts w:hint="eastAsia"/>
          <w:szCs w:val="32"/>
        </w:rPr>
        <w:t>（</w:t>
      </w:r>
      <w:r>
        <w:rPr>
          <w:szCs w:val="32"/>
        </w:rPr>
        <w:t>O&amp;M</w:t>
      </w:r>
      <w:r>
        <w:rPr>
          <w:rFonts w:hint="eastAsia"/>
          <w:szCs w:val="32"/>
        </w:rPr>
        <w:t>）</w:t>
      </w:r>
      <w:r>
        <w:rPr>
          <w:szCs w:val="32"/>
        </w:rPr>
        <w:t>等社会资本创新参与水利项目建设金融服务新模式。</w:t>
      </w:r>
    </w:p>
    <w:p>
      <w:pPr>
        <w:pBdr>
          <w:bottom w:val="single" w:color="FFFFFF" w:sz="4" w:space="31"/>
        </w:pBdr>
        <w:tabs>
          <w:tab w:val="left" w:pos="1440"/>
        </w:tabs>
        <w:spacing w:line="590" w:lineRule="exact"/>
        <w:ind w:firstLine="640" w:firstLineChars="200"/>
        <w:rPr>
          <w:rFonts w:eastAsia="方正黑体_GBK"/>
          <w:szCs w:val="32"/>
        </w:rPr>
      </w:pPr>
      <w:r>
        <w:rPr>
          <w:rFonts w:eastAsia="方正黑体_GBK"/>
          <w:bCs/>
          <w:szCs w:val="32"/>
        </w:rPr>
        <w:t>四、构建立体化保障体系</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（一）建立长效银政合作机制。</w:t>
      </w:r>
      <w:r>
        <w:rPr>
          <w:szCs w:val="32"/>
        </w:rPr>
        <w:t>市金融</w:t>
      </w:r>
      <w:r>
        <w:rPr>
          <w:rFonts w:hint="eastAsia"/>
          <w:szCs w:val="32"/>
        </w:rPr>
        <w:t>工作局</w:t>
      </w:r>
      <w:r>
        <w:rPr>
          <w:szCs w:val="32"/>
        </w:rPr>
        <w:t>推动行业主管部门、金融机构、项目业主单位加强信息沟通交流和对接，加强信息沟通交流，推动市、区两级，</w:t>
      </w:r>
      <w:r>
        <w:rPr>
          <w:rFonts w:hint="eastAsia" w:ascii="方正仿宋_GBK"/>
          <w:szCs w:val="32"/>
        </w:rPr>
        <w:t>“政银企”</w:t>
      </w:r>
      <w:r>
        <w:rPr>
          <w:szCs w:val="32"/>
        </w:rPr>
        <w:t>三方信息互联互通，推动建立水利项目信息库，确保项目和资金的充分对接。支持金融机构提早介入、参与项目论证研究，同步推进工程建设投资设计和项目融资方案策划，实现金融服务融入水利工程前期规划与项目全流程管理。</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（二）提升项目统计督导考核。</w:t>
      </w:r>
      <w:r>
        <w:rPr>
          <w:szCs w:val="32"/>
        </w:rPr>
        <w:t>市水利局、区县政府加强对水利项目的动态统筹督导，推动水利项目资本金到位、落实审批手续等相关进程，市金融</w:t>
      </w:r>
      <w:r>
        <w:rPr>
          <w:rFonts w:hint="eastAsia"/>
          <w:szCs w:val="32"/>
        </w:rPr>
        <w:t>工作局</w:t>
      </w:r>
      <w:r>
        <w:rPr>
          <w:szCs w:val="32"/>
        </w:rPr>
        <w:t>加强金融机构信贷规模、服务质效的跟踪督导。各方</w:t>
      </w:r>
      <w:r>
        <w:rPr>
          <w:rFonts w:hint="eastAsia"/>
          <w:szCs w:val="32"/>
        </w:rPr>
        <w:t>就</w:t>
      </w:r>
      <w:r>
        <w:rPr>
          <w:szCs w:val="32"/>
        </w:rPr>
        <w:t>金融服务水利基础设施建设运营工作情况进行沟通、交流、评价。</w:t>
      </w:r>
    </w:p>
    <w:p>
      <w:pPr>
        <w:pBdr>
          <w:bottom w:val="single" w:color="FFFFFF" w:sz="4" w:space="31"/>
        </w:pBdr>
        <w:tabs>
          <w:tab w:val="left" w:pos="1440"/>
        </w:tabs>
        <w:spacing w:line="590" w:lineRule="exact"/>
        <w:ind w:firstLine="640" w:firstLineChars="200"/>
        <w:rPr>
          <w:szCs w:val="32"/>
        </w:rPr>
      </w:pPr>
      <w:r>
        <w:rPr>
          <w:rFonts w:hint="eastAsia" w:ascii="方正楷体_GBK" w:eastAsia="方正楷体_GBK"/>
          <w:szCs w:val="32"/>
        </w:rPr>
        <w:t>（三）建立常态人才培养机制。</w:t>
      </w:r>
      <w:r>
        <w:rPr>
          <w:szCs w:val="32"/>
        </w:rPr>
        <w:t>探索建立金融服务水利基础设施定期培训机制，通过现场、线上、电话、视频等方式，对区、县级主管机构开展金融培训及优秀案例分享，建立</w:t>
      </w:r>
      <w:r>
        <w:rPr>
          <w:rFonts w:hint="eastAsia" w:ascii="方正仿宋_GBK"/>
          <w:szCs w:val="32"/>
        </w:rPr>
        <w:t>“</w:t>
      </w:r>
      <w:r>
        <w:rPr>
          <w:szCs w:val="32"/>
        </w:rPr>
        <w:t>水利</w:t>
      </w:r>
      <w:r>
        <w:rPr>
          <w:rFonts w:hint="eastAsia"/>
          <w:szCs w:val="32"/>
        </w:rPr>
        <w:t>+</w:t>
      </w:r>
      <w:r>
        <w:rPr>
          <w:szCs w:val="32"/>
        </w:rPr>
        <w:t>金融</w:t>
      </w:r>
      <w:r>
        <w:rPr>
          <w:rFonts w:hint="eastAsia" w:ascii="方正仿宋_GBK"/>
          <w:szCs w:val="32"/>
        </w:rPr>
        <w:t>”专</w:t>
      </w:r>
      <w:r>
        <w:rPr>
          <w:szCs w:val="32"/>
        </w:rPr>
        <w:t>业服务队伍，加快推动区级、县域、乡村水利基础设施发展。探索建立干部挂职交流机制，鼓励水利部门和金融机构定期开展干部挂职交流，通过人才交流推进水利项目融资、融智提档升级，加快培养水利投融资复合型人才队伍。</w:t>
      </w:r>
    </w:p>
    <w:p>
      <w:pPr>
        <w:pBdr>
          <w:bottom w:val="single" w:color="FFFFFF" w:sz="4" w:space="31"/>
        </w:pBdr>
        <w:tabs>
          <w:tab w:val="left" w:pos="1440"/>
        </w:tabs>
        <w:spacing w:line="590" w:lineRule="exact"/>
        <w:ind w:firstLine="640" w:firstLineChars="200"/>
        <w:rPr>
          <w:rFonts w:hint="eastAsia"/>
          <w:szCs w:val="32"/>
        </w:rPr>
      </w:pPr>
    </w:p>
    <w:p>
      <w:pPr>
        <w:pBdr>
          <w:bottom w:val="single" w:color="FFFFFF" w:sz="4" w:space="31"/>
        </w:pBdr>
        <w:tabs>
          <w:tab w:val="left" w:pos="1440"/>
        </w:tabs>
        <w:spacing w:line="590" w:lineRule="exact"/>
        <w:ind w:firstLine="640" w:firstLineChars="200"/>
        <w:rPr>
          <w:spacing w:val="-10"/>
          <w:szCs w:val="32"/>
        </w:rPr>
      </w:pPr>
      <w:r>
        <w:rPr>
          <w:rFonts w:hint="eastAsia"/>
          <w:szCs w:val="32"/>
        </w:rPr>
        <w:t>附件：</w:t>
      </w:r>
      <w:r>
        <w:rPr>
          <w:rFonts w:hint="eastAsia"/>
          <w:spacing w:val="-10"/>
          <w:szCs w:val="32"/>
        </w:rPr>
        <w:t>水利项目银行授信参考准入要求、资料清单及业务流程</w:t>
      </w:r>
    </w:p>
    <w:p>
      <w:pPr>
        <w:pBdr>
          <w:bottom w:val="single" w:color="FFFFFF" w:sz="4" w:space="31"/>
        </w:pBdr>
        <w:tabs>
          <w:tab w:val="left" w:pos="1440"/>
        </w:tabs>
        <w:spacing w:line="590" w:lineRule="exact"/>
        <w:ind w:firstLine="640" w:firstLineChars="200"/>
        <w:rPr>
          <w:szCs w:val="32"/>
        </w:rPr>
      </w:pPr>
    </w:p>
    <w:p>
      <w:pPr>
        <w:tabs>
          <w:tab w:val="left" w:pos="8651"/>
        </w:tabs>
        <w:spacing w:line="590" w:lineRule="exact"/>
        <w:jc w:val="left"/>
        <w:rPr>
          <w:rFonts w:hint="eastAsia"/>
          <w:szCs w:val="32"/>
        </w:rPr>
      </w:pPr>
    </w:p>
    <w:p>
      <w:pPr>
        <w:tabs>
          <w:tab w:val="left" w:pos="8651"/>
        </w:tabs>
        <w:spacing w:line="590" w:lineRule="exact"/>
        <w:jc w:val="left"/>
        <w:rPr>
          <w:rFonts w:hint="eastAsia"/>
          <w:szCs w:val="32"/>
        </w:rPr>
      </w:pPr>
    </w:p>
    <w:p>
      <w:pPr>
        <w:tabs>
          <w:tab w:val="left" w:pos="8651"/>
        </w:tabs>
        <w:spacing w:line="590" w:lineRule="exact"/>
        <w:ind w:firstLine="640" w:firstLineChars="200"/>
        <w:jc w:val="left"/>
        <w:rPr>
          <w:rFonts w:hint="eastAsia" w:ascii="方正仿宋_GBK" w:hAnsi="方正小标宋_GBK" w:cs="方正小标宋_GBK"/>
          <w:szCs w:val="32"/>
        </w:rPr>
      </w:pPr>
      <w:r>
        <w:rPr>
          <w:rFonts w:hint="eastAsia" w:ascii="方正仿宋_GBK" w:hAnsi="方正小标宋_GBK" w:cs="方正小标宋_GBK"/>
          <w:szCs w:val="32"/>
        </w:rPr>
        <w:t>重庆市金融工作局                 重庆市水利局</w:t>
      </w:r>
    </w:p>
    <w:p>
      <w:pPr>
        <w:tabs>
          <w:tab w:val="left" w:pos="8651"/>
        </w:tabs>
        <w:spacing w:line="590" w:lineRule="exact"/>
        <w:ind w:firstLine="640" w:firstLineChars="200"/>
        <w:jc w:val="left"/>
        <w:rPr>
          <w:rFonts w:hint="eastAsia" w:ascii="方正仿宋_GBK" w:hAnsi="方正小标宋_GBK" w:cs="方正小标宋_GBK"/>
          <w:szCs w:val="32"/>
        </w:rPr>
      </w:pPr>
    </w:p>
    <w:p>
      <w:pPr>
        <w:tabs>
          <w:tab w:val="left" w:pos="8651"/>
        </w:tabs>
        <w:spacing w:line="590" w:lineRule="exact"/>
        <w:ind w:firstLine="640" w:firstLineChars="200"/>
        <w:jc w:val="left"/>
        <w:rPr>
          <w:rFonts w:hint="eastAsia" w:ascii="方正仿宋_GBK" w:hAnsi="方正小标宋_GBK" w:cs="方正小标宋_GBK"/>
          <w:szCs w:val="32"/>
        </w:rPr>
      </w:pPr>
    </w:p>
    <w:p>
      <w:pPr>
        <w:tabs>
          <w:tab w:val="left" w:pos="8651"/>
        </w:tabs>
        <w:spacing w:line="590" w:lineRule="exact"/>
        <w:ind w:firstLine="640" w:firstLineChars="200"/>
        <w:jc w:val="left"/>
        <w:rPr>
          <w:rFonts w:hint="eastAsia" w:ascii="方正仿宋_GBK" w:hAnsi="方正小标宋_GBK" w:cs="方正小标宋_GBK"/>
          <w:szCs w:val="32"/>
        </w:rPr>
      </w:pPr>
    </w:p>
    <w:p>
      <w:pPr>
        <w:spacing w:line="590" w:lineRule="exact"/>
        <w:jc w:val="left"/>
        <w:rPr>
          <w:rFonts w:hint="eastAsia" w:ascii="方正仿宋_GBK" w:hAnsi="方正小标宋_GBK" w:cs="方正小标宋_GBK"/>
          <w:szCs w:val="32"/>
        </w:rPr>
      </w:pPr>
    </w:p>
    <w:p>
      <w:pPr>
        <w:spacing w:line="590" w:lineRule="exact"/>
        <w:jc w:val="left"/>
        <w:rPr>
          <w:rFonts w:hint="eastAsia" w:ascii="方正仿宋_GBK" w:hAnsi="方正小标宋_GBK" w:cs="方正小标宋_GBK"/>
          <w:szCs w:val="32"/>
        </w:rPr>
      </w:pPr>
      <w:r>
        <w:rPr>
          <w:rFonts w:hint="eastAsia" w:ascii="方正仿宋_GBK" w:hAnsi="方正小标宋_GBK" w:cs="方正小标宋_GBK"/>
          <w:szCs w:val="32"/>
        </w:rPr>
        <w:t xml:space="preserve">中国银行保险监督管理委员会      中国证券监督管理委员会  </w:t>
      </w:r>
    </w:p>
    <w:p>
      <w:pPr>
        <w:spacing w:line="590" w:lineRule="exact"/>
        <w:ind w:firstLine="1433" w:firstLineChars="448"/>
        <w:jc w:val="left"/>
        <w:rPr>
          <w:rFonts w:hint="eastAsia" w:ascii="方正仿宋_GBK" w:hAnsi="方正小标宋_GBK" w:cs="方正小标宋_GBK"/>
          <w:szCs w:val="32"/>
        </w:rPr>
      </w:pPr>
      <w:r>
        <w:rPr>
          <w:rFonts w:hint="eastAsia" w:ascii="方正仿宋_GBK" w:hAnsi="方正小标宋_GBK" w:cs="方正小标宋_GBK"/>
          <w:szCs w:val="32"/>
        </w:rPr>
        <w:t xml:space="preserve">重庆监管局                    重庆监管局                                           </w:t>
      </w:r>
    </w:p>
    <w:p>
      <w:pPr>
        <w:pStyle w:val="8"/>
        <w:spacing w:line="590" w:lineRule="exact"/>
        <w:ind w:firstLine="5659" w:firstLineChars="2695"/>
        <w:rPr>
          <w:rFonts w:hint="eastAsia" w:ascii="Times New Roman" w:hAnsi="Times New Roman" w:eastAsia="方正仿宋_GBK"/>
          <w:sz w:val="32"/>
          <w:szCs w:val="32"/>
        </w:rPr>
      </w:pPr>
      <w:r>
        <w:rPr>
          <w:rFonts w:hint="eastAsia" w:ascii="方正仿宋_GBK" w:hAnsi="方正小标宋_GBK" w:cs="方正小标宋_GBK"/>
          <w:szCs w:val="32"/>
        </w:rPr>
        <w:t xml:space="preserve">   </w:t>
      </w:r>
      <w:r>
        <w:rPr>
          <w:rFonts w:hint="eastAsia" w:ascii="Times New Roman" w:hAnsi="Times New Roman" w:eastAsia="方正仿宋_GBK"/>
          <w:sz w:val="32"/>
          <w:szCs w:val="32"/>
        </w:rPr>
        <w:t>2023年3月2日</w:t>
      </w:r>
    </w:p>
    <w:p>
      <w:pPr>
        <w:rPr>
          <w:rFonts w:hint="eastAsia"/>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黑体_GBK" w:cs="Times New Roman"/>
          <w:spacing w:val="0"/>
          <w:kern w:val="0"/>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黑体_GBK" w:cs="Times New Roman"/>
          <w:spacing w:val="0"/>
          <w:kern w:val="0"/>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黑体_GBK" w:cs="Times New Roman"/>
          <w:spacing w:val="0"/>
          <w:kern w:val="0"/>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黑体_GBK" w:cs="Times New Roman"/>
          <w:spacing w:val="0"/>
          <w:kern w:val="0"/>
          <w:sz w:val="32"/>
          <w:szCs w:val="32"/>
        </w:rPr>
      </w:pPr>
    </w:p>
    <w:p>
      <w:pPr>
        <w:keepNext w:val="0"/>
        <w:keepLines w:val="0"/>
        <w:pageBreakBefore w:val="0"/>
        <w:kinsoku/>
        <w:wordWrap/>
        <w:overflowPunct/>
        <w:topLinePunct w:val="0"/>
        <w:autoSpaceDE/>
        <w:autoSpaceDN/>
        <w:bidi w:val="0"/>
        <w:adjustRightInd/>
        <w:snapToGrid/>
        <w:spacing w:line="590" w:lineRule="exact"/>
        <w:textAlignment w:val="auto"/>
        <w:rPr>
          <w:rFonts w:hint="eastAsia" w:ascii="Times New Roman" w:hAnsi="Times New Roman" w:eastAsia="方正黑体_GBK" w:cs="Times New Roman"/>
          <w:spacing w:val="0"/>
          <w:kern w:val="0"/>
          <w:sz w:val="32"/>
          <w:szCs w:val="32"/>
          <w:lang w:val="en-US" w:eastAsia="zh-CN"/>
        </w:rPr>
      </w:pPr>
      <w:r>
        <w:rPr>
          <w:rFonts w:ascii="Times New Roman" w:hAnsi="Times New Roman" w:eastAsia="方正黑体_GBK" w:cs="Times New Roman"/>
          <w:spacing w:val="0"/>
          <w:kern w:val="0"/>
          <w:sz w:val="32"/>
          <w:szCs w:val="32"/>
        </w:rPr>
        <w:t>附件</w:t>
      </w:r>
    </w:p>
    <w:p>
      <w:pPr>
        <w:pStyle w:val="2"/>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cs="Times New Roman"/>
          <w:spacing w:val="0"/>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spacing w:val="0"/>
          <w:kern w:val="0"/>
          <w:sz w:val="44"/>
          <w:szCs w:val="44"/>
        </w:rPr>
      </w:pPr>
      <w:r>
        <w:rPr>
          <w:rFonts w:hint="eastAsia" w:ascii="Times New Roman" w:hAnsi="Times New Roman" w:eastAsia="方正小标宋_GBK" w:cs="Times New Roman"/>
          <w:spacing w:val="0"/>
          <w:kern w:val="0"/>
          <w:sz w:val="44"/>
          <w:szCs w:val="44"/>
        </w:rPr>
        <w:t>水利项目银行授信参考准入要求、资料</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spacing w:val="0"/>
          <w:kern w:val="0"/>
          <w:sz w:val="44"/>
          <w:szCs w:val="44"/>
        </w:rPr>
      </w:pPr>
      <w:r>
        <w:rPr>
          <w:rFonts w:hint="eastAsia" w:ascii="Times New Roman" w:hAnsi="Times New Roman" w:eastAsia="方正小标宋_GBK" w:cs="Times New Roman"/>
          <w:spacing w:val="0"/>
          <w:kern w:val="0"/>
          <w:sz w:val="44"/>
          <w:szCs w:val="44"/>
        </w:rPr>
        <w:t>清单及业务流程</w:t>
      </w:r>
    </w:p>
    <w:p>
      <w:pPr>
        <w:spacing w:line="590" w:lineRule="exact"/>
        <w:ind w:firstLine="640" w:firstLineChars="200"/>
        <w:rPr>
          <w:rFonts w:hint="eastAsia" w:ascii="方正黑体_GBK" w:eastAsia="方正黑体_GBK"/>
          <w:szCs w:val="32"/>
        </w:rPr>
      </w:pPr>
    </w:p>
    <w:p>
      <w:pPr>
        <w:spacing w:line="590" w:lineRule="exact"/>
        <w:ind w:firstLine="640" w:firstLineChars="200"/>
        <w:rPr>
          <w:rFonts w:ascii="方正黑体_GBK" w:eastAsia="方正黑体_GBK"/>
          <w:szCs w:val="32"/>
        </w:rPr>
      </w:pPr>
      <w:bookmarkStart w:id="0" w:name="_GoBack"/>
      <w:bookmarkEnd w:id="0"/>
      <w:r>
        <w:rPr>
          <w:rFonts w:hint="eastAsia" w:ascii="方正黑体_GBK" w:eastAsia="方正黑体_GBK"/>
          <w:szCs w:val="32"/>
        </w:rPr>
        <w:t>一、授信准入要求</w:t>
      </w:r>
    </w:p>
    <w:p>
      <w:pPr>
        <w:spacing w:line="590" w:lineRule="exact"/>
        <w:ind w:firstLine="640" w:firstLineChars="200"/>
        <w:outlineLvl w:val="0"/>
        <w:rPr>
          <w:rFonts w:ascii="方正楷体_GBK" w:eastAsia="方正楷体_GBK"/>
          <w:szCs w:val="32"/>
        </w:rPr>
      </w:pPr>
      <w:r>
        <w:rPr>
          <w:rFonts w:hint="eastAsia" w:ascii="方正楷体_GBK" w:eastAsia="方正楷体_GBK"/>
          <w:szCs w:val="32"/>
        </w:rPr>
        <w:t>（一）申请人准入</w:t>
      </w:r>
      <w:r>
        <w:rPr>
          <w:rFonts w:hint="eastAsia" w:ascii="方正楷体_GBK" w:hAnsi="方正楷体_GBK" w:eastAsia="方正楷体_GBK" w:cs="方正楷体_GBK"/>
          <w:szCs w:val="32"/>
        </w:rPr>
        <w:t>要求。</w:t>
      </w:r>
    </w:p>
    <w:p>
      <w:pPr>
        <w:pBdr>
          <w:bottom w:val="single" w:color="FFFFFF" w:sz="4" w:space="31"/>
        </w:pBdr>
        <w:tabs>
          <w:tab w:val="left" w:pos="1440"/>
        </w:tabs>
        <w:spacing w:line="590" w:lineRule="exact"/>
        <w:ind w:firstLine="640" w:firstLineChars="200"/>
        <w:rPr>
          <w:szCs w:val="32"/>
        </w:rPr>
      </w:pPr>
      <w:r>
        <w:rPr>
          <w:rFonts w:hint="eastAsia"/>
          <w:szCs w:val="32"/>
        </w:rPr>
        <w:t>1．有效的统一社会信用代码证，有效的公司章程，正常的银行基本帐户或一般帐户；</w:t>
      </w:r>
    </w:p>
    <w:p>
      <w:pPr>
        <w:pBdr>
          <w:bottom w:val="single" w:color="FFFFFF" w:sz="4" w:space="31"/>
        </w:pBdr>
        <w:tabs>
          <w:tab w:val="left" w:pos="1440"/>
        </w:tabs>
        <w:spacing w:line="590" w:lineRule="exact"/>
        <w:ind w:firstLine="640" w:firstLineChars="200"/>
        <w:rPr>
          <w:szCs w:val="32"/>
        </w:rPr>
      </w:pPr>
      <w:r>
        <w:rPr>
          <w:rFonts w:hint="eastAsia"/>
          <w:szCs w:val="32"/>
        </w:rPr>
        <w:t>2．申请人及控股股东、主要股东、担保人信用记录正常；</w:t>
      </w:r>
    </w:p>
    <w:p>
      <w:pPr>
        <w:pBdr>
          <w:bottom w:val="single" w:color="FFFFFF" w:sz="4" w:space="31"/>
        </w:pBdr>
        <w:tabs>
          <w:tab w:val="left" w:pos="1440"/>
        </w:tabs>
        <w:spacing w:line="590" w:lineRule="exact"/>
        <w:ind w:firstLine="640" w:firstLineChars="200"/>
        <w:rPr>
          <w:szCs w:val="32"/>
        </w:rPr>
      </w:pPr>
      <w:r>
        <w:rPr>
          <w:rFonts w:hint="eastAsia"/>
          <w:szCs w:val="32"/>
        </w:rPr>
        <w:t>3．申请人在拟申请银行有效信用评级在准入级及以上；</w:t>
      </w:r>
    </w:p>
    <w:p>
      <w:pPr>
        <w:pBdr>
          <w:bottom w:val="single" w:color="FFFFFF" w:sz="4" w:space="31"/>
        </w:pBdr>
        <w:tabs>
          <w:tab w:val="left" w:pos="1440"/>
        </w:tabs>
        <w:spacing w:line="590" w:lineRule="exact"/>
        <w:ind w:firstLine="640" w:firstLineChars="200"/>
        <w:rPr>
          <w:szCs w:val="32"/>
        </w:rPr>
      </w:pPr>
      <w:r>
        <w:rPr>
          <w:rFonts w:hint="eastAsia"/>
          <w:szCs w:val="32"/>
        </w:rPr>
        <w:t>4．申请人拥有近三年财务审计报告及即期财务报表（成立期不足三年的，提供成立以来年度财务审计报告与即期报表），申请人资产负债率100％（含）以下，具体比例需满足拟申请银行的要求；</w:t>
      </w:r>
    </w:p>
    <w:p>
      <w:pPr>
        <w:pBdr>
          <w:bottom w:val="single" w:color="FFFFFF" w:sz="4" w:space="31"/>
        </w:pBdr>
        <w:tabs>
          <w:tab w:val="left" w:pos="1440"/>
        </w:tabs>
        <w:spacing w:line="590" w:lineRule="exact"/>
        <w:ind w:firstLine="640" w:firstLineChars="200"/>
        <w:rPr>
          <w:szCs w:val="32"/>
        </w:rPr>
      </w:pPr>
      <w:r>
        <w:rPr>
          <w:rFonts w:hint="eastAsia"/>
          <w:szCs w:val="32"/>
        </w:rPr>
        <w:t>5．有合法有效的借款申请书（企业应取得股东会或董事会同意，代建类公司应与项目业主或主管部门签订合法有效的协议）；</w:t>
      </w:r>
    </w:p>
    <w:p>
      <w:pPr>
        <w:pBdr>
          <w:bottom w:val="single" w:color="FFFFFF" w:sz="4" w:space="31"/>
        </w:pBdr>
        <w:tabs>
          <w:tab w:val="left" w:pos="1440"/>
        </w:tabs>
        <w:spacing w:line="590" w:lineRule="exact"/>
        <w:ind w:firstLine="640" w:firstLineChars="200"/>
        <w:rPr>
          <w:szCs w:val="32"/>
        </w:rPr>
      </w:pPr>
      <w:r>
        <w:rPr>
          <w:rFonts w:hint="eastAsia"/>
          <w:szCs w:val="32"/>
        </w:rPr>
        <w:t>6．拟申请银行规定的其他贷款条件。</w:t>
      </w:r>
    </w:p>
    <w:p>
      <w:pPr>
        <w:pBdr>
          <w:bottom w:val="single" w:color="FFFFFF" w:sz="4" w:space="31"/>
        </w:pBdr>
        <w:tabs>
          <w:tab w:val="left" w:pos="1440"/>
        </w:tabs>
        <w:spacing w:line="590" w:lineRule="exact"/>
        <w:ind w:firstLine="640" w:firstLineChars="200"/>
        <w:outlineLvl w:val="0"/>
        <w:rPr>
          <w:rFonts w:ascii="方正楷体_GBK" w:eastAsia="方正楷体_GBK"/>
          <w:szCs w:val="32"/>
        </w:rPr>
      </w:pPr>
      <w:r>
        <w:rPr>
          <w:rFonts w:hint="eastAsia" w:ascii="方正楷体_GBK" w:eastAsia="方正楷体_GBK"/>
          <w:szCs w:val="32"/>
        </w:rPr>
        <w:t>（二）建设项目准入。</w:t>
      </w:r>
    </w:p>
    <w:p>
      <w:pPr>
        <w:pBdr>
          <w:bottom w:val="single" w:color="FFFFFF" w:sz="4" w:space="31"/>
        </w:pBdr>
        <w:tabs>
          <w:tab w:val="left" w:pos="1440"/>
        </w:tabs>
        <w:spacing w:line="590" w:lineRule="exact"/>
        <w:ind w:firstLine="640" w:firstLineChars="200"/>
        <w:rPr>
          <w:szCs w:val="32"/>
        </w:rPr>
      </w:pPr>
      <w:r>
        <w:rPr>
          <w:rFonts w:hint="eastAsia"/>
          <w:szCs w:val="32"/>
        </w:rPr>
        <w:t>1．项目符合国家产业、土地、环保等相关政策，列入水利建设规划；</w:t>
      </w:r>
    </w:p>
    <w:p>
      <w:pPr>
        <w:pBdr>
          <w:bottom w:val="single" w:color="FFFFFF" w:sz="4" w:space="31"/>
        </w:pBdr>
        <w:tabs>
          <w:tab w:val="left" w:pos="1440"/>
        </w:tabs>
        <w:spacing w:line="590" w:lineRule="exact"/>
        <w:ind w:firstLine="640" w:firstLineChars="200"/>
        <w:rPr>
          <w:szCs w:val="32"/>
        </w:rPr>
      </w:pPr>
      <w:r>
        <w:rPr>
          <w:rFonts w:hint="eastAsia"/>
          <w:szCs w:val="32"/>
        </w:rPr>
        <w:t>2．项目合法性手续齐全，应取得项目建议书、初步设计报告、《可研》报告等相关文件或水利工程实施方案；项目具备用地、规划、施工等合法性证照（上述证照如申请贷款阶段还未办妥，贷款须于办妥证照后发放）；</w:t>
      </w:r>
    </w:p>
    <w:p>
      <w:pPr>
        <w:pBdr>
          <w:bottom w:val="single" w:color="FFFFFF" w:sz="4" w:space="31"/>
        </w:pBdr>
        <w:tabs>
          <w:tab w:val="left" w:pos="1440"/>
        </w:tabs>
        <w:spacing w:line="590" w:lineRule="exact"/>
        <w:ind w:firstLine="640" w:firstLineChars="200"/>
        <w:rPr>
          <w:szCs w:val="32"/>
        </w:rPr>
      </w:pPr>
      <w:r>
        <w:rPr>
          <w:rFonts w:hint="eastAsia"/>
          <w:szCs w:val="32"/>
        </w:rPr>
        <w:t>3．项目资本金原则上不低于15%，具体以项目审批或备案要求为准，项目总投资金除资本金、贷款外，其他投资来源明确并有保证；</w:t>
      </w:r>
    </w:p>
    <w:p>
      <w:pPr>
        <w:pBdr>
          <w:bottom w:val="single" w:color="FFFFFF" w:sz="4" w:space="31"/>
        </w:pBdr>
        <w:tabs>
          <w:tab w:val="left" w:pos="1440"/>
        </w:tabs>
        <w:spacing w:line="590" w:lineRule="exact"/>
        <w:ind w:firstLine="640" w:firstLineChars="200"/>
        <w:rPr>
          <w:szCs w:val="32"/>
        </w:rPr>
      </w:pPr>
      <w:r>
        <w:rPr>
          <w:rFonts w:hint="eastAsia"/>
          <w:szCs w:val="32"/>
        </w:rPr>
        <w:t>4．申请贷款有明确保障措施，采取信用贷款需满足拟申请银行信用贷款相应条件，采取其他担保措施的，保证人或抵质押物（权）满足拟申请银行担保要求；</w:t>
      </w:r>
    </w:p>
    <w:p>
      <w:pPr>
        <w:pBdr>
          <w:bottom w:val="single" w:color="FFFFFF" w:sz="4" w:space="31"/>
        </w:pBdr>
        <w:tabs>
          <w:tab w:val="left" w:pos="1440"/>
        </w:tabs>
        <w:spacing w:line="590" w:lineRule="exact"/>
        <w:ind w:firstLine="640" w:firstLineChars="200"/>
        <w:rPr>
          <w:szCs w:val="32"/>
        </w:rPr>
      </w:pPr>
      <w:r>
        <w:rPr>
          <w:rFonts w:hint="eastAsia"/>
          <w:szCs w:val="32"/>
        </w:rPr>
        <w:t>5．项目未来有可预测收入来源，贷款存续期内还本付息资金有保障。</w:t>
      </w:r>
    </w:p>
    <w:p>
      <w:pPr>
        <w:pBdr>
          <w:bottom w:val="single" w:color="FFFFFF" w:sz="4" w:space="31"/>
        </w:pBdr>
        <w:tabs>
          <w:tab w:val="left" w:pos="1440"/>
        </w:tabs>
        <w:spacing w:line="590" w:lineRule="exact"/>
        <w:ind w:firstLine="640" w:firstLineChars="200"/>
        <w:rPr>
          <w:rFonts w:ascii="方正黑体_GBK" w:eastAsia="方正黑体_GBK"/>
          <w:szCs w:val="32"/>
        </w:rPr>
      </w:pPr>
      <w:r>
        <w:rPr>
          <w:rFonts w:hint="eastAsia" w:ascii="方正黑体_GBK" w:eastAsia="方正黑体_GBK"/>
          <w:szCs w:val="32"/>
        </w:rPr>
        <w:t>二、授信资料清单</w:t>
      </w:r>
    </w:p>
    <w:p>
      <w:pPr>
        <w:pBdr>
          <w:bottom w:val="single" w:color="FFFFFF" w:sz="4" w:space="31"/>
        </w:pBdr>
        <w:tabs>
          <w:tab w:val="left" w:pos="1440"/>
        </w:tabs>
        <w:spacing w:line="590" w:lineRule="exact"/>
        <w:ind w:firstLine="640" w:firstLineChars="200"/>
        <w:rPr>
          <w:szCs w:val="32"/>
        </w:rPr>
      </w:pPr>
      <w:r>
        <w:rPr>
          <w:rFonts w:hint="eastAsia"/>
          <w:szCs w:val="32"/>
        </w:rPr>
        <w:t>借款人申请水利建设贷款应按照拟申请银行提供《借款申请书》并提供下列材料：</w:t>
      </w:r>
    </w:p>
    <w:p>
      <w:pPr>
        <w:pBdr>
          <w:bottom w:val="single" w:color="FFFFFF" w:sz="4" w:space="31"/>
        </w:pBdr>
        <w:tabs>
          <w:tab w:val="left" w:pos="1440"/>
        </w:tabs>
        <w:spacing w:line="590" w:lineRule="exact"/>
        <w:ind w:firstLine="640" w:firstLineChars="200"/>
        <w:rPr>
          <w:szCs w:val="32"/>
        </w:rPr>
      </w:pPr>
      <w:r>
        <w:rPr>
          <w:rFonts w:hint="eastAsia"/>
          <w:szCs w:val="32"/>
        </w:rPr>
        <w:t>1．借款人基本资料：营业执照、公司章程、有效决议或授权书、法定代表人身份证明或授权委托书等；</w:t>
      </w:r>
    </w:p>
    <w:p>
      <w:pPr>
        <w:pBdr>
          <w:bottom w:val="single" w:color="FFFFFF" w:sz="4" w:space="31"/>
        </w:pBdr>
        <w:tabs>
          <w:tab w:val="left" w:pos="1440"/>
        </w:tabs>
        <w:spacing w:line="590" w:lineRule="exact"/>
        <w:ind w:firstLine="640" w:firstLineChars="200"/>
        <w:rPr>
          <w:szCs w:val="32"/>
        </w:rPr>
      </w:pPr>
      <w:r>
        <w:rPr>
          <w:rFonts w:hint="eastAsia"/>
          <w:szCs w:val="32"/>
        </w:rPr>
        <w:t>2．借款人财务资料：经会计师事务所审计的近三年财务审计报告（成立期不足三年的，提供自经营以来的年度财务审计报告），以及最近一期财务报表；</w:t>
      </w:r>
    </w:p>
    <w:p>
      <w:pPr>
        <w:pBdr>
          <w:bottom w:val="single" w:color="FFFFFF" w:sz="4" w:space="31"/>
        </w:pBdr>
        <w:tabs>
          <w:tab w:val="left" w:pos="1440"/>
        </w:tabs>
        <w:spacing w:line="590" w:lineRule="exact"/>
        <w:ind w:firstLine="640" w:firstLineChars="200"/>
        <w:rPr>
          <w:szCs w:val="32"/>
        </w:rPr>
      </w:pPr>
      <w:r>
        <w:rPr>
          <w:rFonts w:hint="eastAsia"/>
          <w:szCs w:val="32"/>
        </w:rPr>
        <w:t>3．借款人资格资料：借款人为国有企业法人的，应提供有权政府主管部门提供的授权书或文件；借款人为代建公司等社会资本介入类公司的，应提供与政府部门签订的合作协议、特许经营权转让合同等相关文件；</w:t>
      </w:r>
    </w:p>
    <w:p>
      <w:pPr>
        <w:pBdr>
          <w:bottom w:val="single" w:color="FFFFFF" w:sz="4" w:space="31"/>
        </w:pBdr>
        <w:tabs>
          <w:tab w:val="left" w:pos="1440"/>
        </w:tabs>
        <w:spacing w:line="590" w:lineRule="exact"/>
        <w:ind w:firstLine="640" w:firstLineChars="200"/>
        <w:rPr>
          <w:szCs w:val="32"/>
        </w:rPr>
      </w:pPr>
      <w:r>
        <w:rPr>
          <w:rFonts w:hint="eastAsia"/>
          <w:szCs w:val="32"/>
        </w:rPr>
        <w:t>4．项目合法性资料：需提供项目建议书及批复、可行性研究报告、初步设计报告及批复和其他权证等相关合规文件；</w:t>
      </w:r>
    </w:p>
    <w:p>
      <w:pPr>
        <w:pBdr>
          <w:bottom w:val="single" w:color="FFFFFF" w:sz="4" w:space="31"/>
        </w:pBdr>
        <w:tabs>
          <w:tab w:val="left" w:pos="1440"/>
        </w:tabs>
        <w:spacing w:line="590" w:lineRule="exact"/>
        <w:ind w:firstLine="640" w:firstLineChars="200"/>
        <w:rPr>
          <w:szCs w:val="32"/>
        </w:rPr>
      </w:pPr>
      <w:r>
        <w:rPr>
          <w:rFonts w:hint="eastAsia"/>
          <w:szCs w:val="32"/>
        </w:rPr>
        <w:t>5．采取保证担保的，保证方应提供前述1-3项相应资料；采取资产抵押担保的应提供资产证明文件、资产所有方同意提供抵押的文件及资产评估报告；采取收费权质押担保的，应提供借款人同意以收费权质押的承诺函、政府主管部门有关批复文件以及收费权当期质押状况说明；</w:t>
      </w:r>
    </w:p>
    <w:p>
      <w:pPr>
        <w:pBdr>
          <w:bottom w:val="single" w:color="FFFFFF" w:sz="4" w:space="31"/>
        </w:pBdr>
        <w:tabs>
          <w:tab w:val="left" w:pos="1440"/>
        </w:tabs>
        <w:spacing w:line="590" w:lineRule="exact"/>
        <w:ind w:firstLine="640" w:firstLineChars="200"/>
        <w:rPr>
          <w:szCs w:val="32"/>
        </w:rPr>
      </w:pPr>
      <w:r>
        <w:rPr>
          <w:rFonts w:hint="eastAsia"/>
          <w:szCs w:val="32"/>
        </w:rPr>
        <w:t>6．属于使用政府投资的项目，需提供有权部门同意立项的批准文件；属于政府核准范围的项目，需提供有权部门核准文件；需主管部门同意的项目，持有主管部门批准文件；</w:t>
      </w:r>
    </w:p>
    <w:p>
      <w:pPr>
        <w:pBdr>
          <w:bottom w:val="single" w:color="FFFFFF" w:sz="4" w:space="31"/>
        </w:pBdr>
        <w:tabs>
          <w:tab w:val="left" w:pos="1440"/>
        </w:tabs>
        <w:spacing w:line="590" w:lineRule="exact"/>
        <w:ind w:firstLine="640" w:firstLineChars="200"/>
        <w:rPr>
          <w:szCs w:val="32"/>
        </w:rPr>
      </w:pPr>
      <w:r>
        <w:rPr>
          <w:rFonts w:hint="eastAsia"/>
          <w:szCs w:val="32"/>
        </w:rPr>
        <w:t>7．还款来源证明文件及资料，例如以补贴（助）收入作为还款来源的，应提供相关补贴（助）证明文件；</w:t>
      </w:r>
    </w:p>
    <w:p>
      <w:pPr>
        <w:pBdr>
          <w:bottom w:val="single" w:color="FFFFFF" w:sz="4" w:space="31"/>
        </w:pBdr>
        <w:tabs>
          <w:tab w:val="left" w:pos="1440"/>
        </w:tabs>
        <w:spacing w:line="590" w:lineRule="exact"/>
        <w:ind w:firstLine="640" w:firstLineChars="200"/>
        <w:rPr>
          <w:szCs w:val="32"/>
        </w:rPr>
      </w:pPr>
      <w:r>
        <w:rPr>
          <w:rFonts w:hint="eastAsia"/>
          <w:szCs w:val="32"/>
        </w:rPr>
        <w:t>8．其他资料。</w:t>
      </w:r>
    </w:p>
    <w:p>
      <w:pPr>
        <w:pBdr>
          <w:bottom w:val="single" w:color="FFFFFF" w:sz="4" w:space="31"/>
        </w:pBdr>
        <w:tabs>
          <w:tab w:val="left" w:pos="1440"/>
        </w:tabs>
        <w:spacing w:line="590" w:lineRule="exact"/>
        <w:ind w:firstLine="640" w:firstLineChars="200"/>
        <w:rPr>
          <w:rFonts w:ascii="方正黑体_GBK" w:eastAsia="方正黑体_GBK"/>
          <w:szCs w:val="32"/>
        </w:rPr>
      </w:pPr>
      <w:r>
        <w:rPr>
          <w:rFonts w:hint="eastAsia" w:ascii="方正黑体_GBK" w:eastAsia="方正黑体_GBK"/>
          <w:szCs w:val="32"/>
        </w:rPr>
        <w:t>三、授信业务流程</w:t>
      </w:r>
    </w:p>
    <w:p>
      <w:pPr>
        <w:pBdr>
          <w:bottom w:val="single" w:color="FFFFFF" w:sz="4" w:space="31"/>
        </w:pBdr>
        <w:tabs>
          <w:tab w:val="left" w:pos="1440"/>
        </w:tabs>
        <w:spacing w:line="590" w:lineRule="exact"/>
        <w:ind w:firstLine="640" w:firstLineChars="200"/>
        <w:rPr>
          <w:rFonts w:hint="eastAsia"/>
          <w:sz w:val="28"/>
          <w:szCs w:val="28"/>
        </w:rPr>
      </w:pPr>
      <w:r>
        <w:rPr>
          <w:rFonts w:hint="eastAsia"/>
          <w:szCs w:val="32"/>
        </w:rPr>
        <w:t>基本流程为：企业向所在地银行分支机构提出贷款申请（国开行重庆分行无分支机构的直接向分行区域处室申请）→银行受理贷款申请→派人开展贷前调查→开展信贷业务审查、审议、审批→落实放款前提条件→证照齐备并办妥担保（如有）手续、资本金到位或同比例到位后发放贷款→银行开展信贷业务贷后管理→贷款定期付息、到期收回。</w:t>
      </w:r>
    </w:p>
    <w:p>
      <w:pPr>
        <w:pStyle w:val="2"/>
        <w:jc w:val="both"/>
        <w:rPr>
          <w:rFonts w:hint="eastAsia"/>
          <w:lang w:val="en-US" w:eastAsia="zh-CN"/>
        </w:rPr>
      </w:pPr>
    </w:p>
    <w:sectPr>
      <w:headerReference r:id="rId3" w:type="default"/>
      <w:footerReference r:id="rId4" w:type="default"/>
      <w:pgSz w:w="11906" w:h="16838"/>
      <w:pgMar w:top="1440" w:right="1417"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ESI仿宋-GB18030">
    <w:altName w:val="仿宋"/>
    <w:panose1 w:val="02000500000000000000"/>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color w:val="FAFAFA"/>
        <w:sz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191135</wp:posOffset>
              </wp:positionV>
              <wp:extent cx="8838565" cy="8890"/>
              <wp:effectExtent l="0" t="0" r="0" b="0"/>
              <wp:wrapNone/>
              <wp:docPr id="9" name="直接连接符 9"/>
              <wp:cNvGraphicFramePr/>
              <a:graphic xmlns:a="http://schemas.openxmlformats.org/drawingml/2006/main">
                <a:graphicData uri="http://schemas.microsoft.com/office/word/2010/wordprocessingShape">
                  <wps:wsp>
                    <wps:cNvCnPr/>
                    <wps:spPr>
                      <a:xfrm>
                        <a:off x="0" y="0"/>
                        <a:ext cx="8838565"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pt;margin-top:15.05pt;height:0.7pt;width:695.95pt;z-index:251659264;mso-width-relative:page;mso-height-relative:page;" filled="f" stroked="t" coordsize="21600,21600" o:gfxdata="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SaNug&#10;1gAAAAgBAAAPAAAAAAAAAAEAIAAAACIAAABkcnMvZG93bnJldi54bWxQSwECFAAUAAAACACHTuJA&#10;9c2uNuoBAAC1AwAADgAAAAAAAAABACAAAAAlAQAAZHJzL2Uyb0RvYy54bWxQSwUGAAAAAAYABgBZ&#10;AQAAgQ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重庆市地方金融监督管理局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-158750</wp:posOffset>
              </wp:positionH>
              <wp:positionV relativeFrom="paragraph">
                <wp:posOffset>287020</wp:posOffset>
              </wp:positionV>
              <wp:extent cx="8919210" cy="18415"/>
              <wp:effectExtent l="0" t="0" r="0" b="0"/>
              <wp:wrapNone/>
              <wp:docPr id="10" name="直接连接符 10"/>
              <wp:cNvGraphicFramePr/>
              <a:graphic xmlns:a="http://schemas.openxmlformats.org/drawingml/2006/main">
                <a:graphicData uri="http://schemas.microsoft.com/office/word/2010/wordprocessingShape">
                  <wps:wsp>
                    <wps:cNvCnPr/>
                    <wps:spPr>
                      <a:xfrm>
                        <a:off x="4133850" y="864870"/>
                        <a:ext cx="8919210" cy="184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pt;margin-top:22.6pt;height:1.45pt;width:702.3pt;z-index:251661312;mso-width-relative:page;mso-height-relative:page;" filled="f" stroked="t" coordsize="21600,21600" o:gfxdata="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z8lG2AAAAAoBAAAPAAAAAAAAAAEAIAAAACIAAABkcnMvZG93bnJldi54bWxQ&#10;SwECFAAUAAAACACHTuJA5LfA8/cBAADDAwAADgAAAAAAAAABACAAAAAnAQAAZHJzL2Uyb0RvYy54&#10;bWxQSwUGAAAAAAYABgBZAQAAk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重庆市地方金融监督管理局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ODhiYTljYjI0ZjA0MDVlOGVjMzBiMTk0YWYxMTEifQ=="/>
  </w:docVars>
  <w:rsids>
    <w:rsidRoot w:val="00172A27"/>
    <w:rsid w:val="019E71BD"/>
    <w:rsid w:val="01E93D58"/>
    <w:rsid w:val="04B679C3"/>
    <w:rsid w:val="05F07036"/>
    <w:rsid w:val="06E00104"/>
    <w:rsid w:val="080F63D8"/>
    <w:rsid w:val="09341458"/>
    <w:rsid w:val="098254C2"/>
    <w:rsid w:val="0A766EDE"/>
    <w:rsid w:val="0AD64BE8"/>
    <w:rsid w:val="0B0912D7"/>
    <w:rsid w:val="0D3B04F9"/>
    <w:rsid w:val="0E025194"/>
    <w:rsid w:val="0EEF0855"/>
    <w:rsid w:val="1088747A"/>
    <w:rsid w:val="11DB7C71"/>
    <w:rsid w:val="152D2DCA"/>
    <w:rsid w:val="187168EA"/>
    <w:rsid w:val="196673CA"/>
    <w:rsid w:val="1A383CBF"/>
    <w:rsid w:val="1CF734C9"/>
    <w:rsid w:val="1DEC284C"/>
    <w:rsid w:val="1E6523AC"/>
    <w:rsid w:val="22440422"/>
    <w:rsid w:val="22BB4BBB"/>
    <w:rsid w:val="25EB1AF4"/>
    <w:rsid w:val="2DD05FE1"/>
    <w:rsid w:val="2EAE3447"/>
    <w:rsid w:val="31A15F24"/>
    <w:rsid w:val="36FB1DF0"/>
    <w:rsid w:val="375021F0"/>
    <w:rsid w:val="395347B5"/>
    <w:rsid w:val="39A232A0"/>
    <w:rsid w:val="39E745AA"/>
    <w:rsid w:val="3B5A6BBB"/>
    <w:rsid w:val="3CA154E3"/>
    <w:rsid w:val="3EDA13A6"/>
    <w:rsid w:val="3FE9A137"/>
    <w:rsid w:val="3FF56C14"/>
    <w:rsid w:val="417B75E9"/>
    <w:rsid w:val="42430A63"/>
    <w:rsid w:val="42F058B7"/>
    <w:rsid w:val="436109F6"/>
    <w:rsid w:val="441A38D4"/>
    <w:rsid w:val="4504239D"/>
    <w:rsid w:val="4A0D3F70"/>
    <w:rsid w:val="4BC77339"/>
    <w:rsid w:val="4C9236C5"/>
    <w:rsid w:val="4E250A85"/>
    <w:rsid w:val="4F3B0CD5"/>
    <w:rsid w:val="4FFD4925"/>
    <w:rsid w:val="505C172E"/>
    <w:rsid w:val="506405EA"/>
    <w:rsid w:val="52F46F0B"/>
    <w:rsid w:val="532B6A10"/>
    <w:rsid w:val="539E4E99"/>
    <w:rsid w:val="53D8014D"/>
    <w:rsid w:val="550C209A"/>
    <w:rsid w:val="55E064E0"/>
    <w:rsid w:val="56ED1CEB"/>
    <w:rsid w:val="572C6D10"/>
    <w:rsid w:val="59FFD374"/>
    <w:rsid w:val="5C694EFB"/>
    <w:rsid w:val="5DC34279"/>
    <w:rsid w:val="5E1D0BBC"/>
    <w:rsid w:val="5FCD688E"/>
    <w:rsid w:val="5FF9BDAA"/>
    <w:rsid w:val="608816D1"/>
    <w:rsid w:val="60EF4E7F"/>
    <w:rsid w:val="63C209D2"/>
    <w:rsid w:val="648B0A32"/>
    <w:rsid w:val="658F6764"/>
    <w:rsid w:val="665233C1"/>
    <w:rsid w:val="66F95582"/>
    <w:rsid w:val="69AC0D42"/>
    <w:rsid w:val="6AD9688B"/>
    <w:rsid w:val="6B68303F"/>
    <w:rsid w:val="6D0E3F22"/>
    <w:rsid w:val="6EDD2500"/>
    <w:rsid w:val="744E4660"/>
    <w:rsid w:val="753355A2"/>
    <w:rsid w:val="759F1C61"/>
    <w:rsid w:val="769F2DE8"/>
    <w:rsid w:val="76FDEB7C"/>
    <w:rsid w:val="790463BB"/>
    <w:rsid w:val="79C65162"/>
    <w:rsid w:val="79CA31D8"/>
    <w:rsid w:val="79EE7E31"/>
    <w:rsid w:val="7C9011D9"/>
    <w:rsid w:val="7DC651C5"/>
    <w:rsid w:val="7FC7605B"/>
    <w:rsid w:val="7FCC2834"/>
    <w:rsid w:val="7FE3B240"/>
    <w:rsid w:val="92DD1CEF"/>
    <w:rsid w:val="B924B727"/>
    <w:rsid w:val="BD9D1569"/>
    <w:rsid w:val="BFF9EEE5"/>
    <w:rsid w:val="DFFB87B4"/>
    <w:rsid w:val="EBDDA9D0"/>
    <w:rsid w:val="EBF547A2"/>
    <w:rsid w:val="F05B4F69"/>
    <w:rsid w:val="F7F902F6"/>
    <w:rsid w:val="F97D9566"/>
    <w:rsid w:val="F97F3CDD"/>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jc w:val="center"/>
    </w:pPr>
    <w:rPr>
      <w:rFonts w:ascii="Calibri" w:hAnsi="Calibri" w:eastAsia="宋体" w:cs="Times New Roman"/>
      <w:b/>
      <w:kern w:val="2"/>
      <w:sz w:val="48"/>
      <w:szCs w:val="20"/>
      <w:lang w:val="en-US" w:eastAsia="zh-CN" w:bidi="ar-SA"/>
    </w:rPr>
  </w:style>
  <w:style w:type="paragraph" w:styleId="4">
    <w:name w:val="annotation text"/>
    <w:basedOn w:val="1"/>
    <w:qFormat/>
    <w:uiPriority w:val="0"/>
    <w:pPr>
      <w:jc w:val="left"/>
    </w:pPr>
  </w:style>
  <w:style w:type="paragraph" w:styleId="5">
    <w:name w:val="Body Text Indent"/>
    <w:qFormat/>
    <w:uiPriority w:val="0"/>
    <w:pPr>
      <w:widowControl w:val="0"/>
      <w:spacing w:after="120" w:afterLines="0"/>
      <w:ind w:left="420" w:leftChars="200"/>
      <w:jc w:val="both"/>
    </w:pPr>
    <w:rPr>
      <w:rFonts w:ascii="Times New Roman" w:hAnsi="Times New Roman" w:eastAsia="方正仿宋_GBK" w:cs="Times New Roman"/>
      <w:kern w:val="2"/>
      <w:sz w:val="3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rPr>
      <w:rFonts w:ascii="Calibri" w:hAnsi="Calibri" w:eastAsia="宋体"/>
      <w:sz w:val="21"/>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qFormat/>
    <w:uiPriority w:val="0"/>
    <w:pPr>
      <w:widowControl w:val="0"/>
      <w:spacing w:after="120" w:afterLines="0"/>
      <w:ind w:left="420" w:leftChars="200" w:firstLine="420" w:firstLineChars="200"/>
      <w:jc w:val="both"/>
    </w:pPr>
    <w:rPr>
      <w:rFonts w:ascii="Times New Roman" w:hAnsi="Times New Roman" w:eastAsia="方正仿宋_GBK" w:cs="Times New Roman"/>
      <w:kern w:val="2"/>
      <w:sz w:val="32"/>
      <w:lang w:val="en-US" w:eastAsia="zh-CN" w:bidi="ar-SA"/>
    </w:r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3923</Words>
  <Characters>3956</Characters>
  <Lines>1</Lines>
  <Paragraphs>1</Paragraphs>
  <TotalTime>1</TotalTime>
  <ScaleCrop>false</ScaleCrop>
  <LinksUpToDate>false</LinksUpToDate>
  <CharactersWithSpaces>4050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Administrator</cp:lastModifiedBy>
  <cp:lastPrinted>2022-06-09T08:09:00Z</cp:lastPrinted>
  <dcterms:modified xsi:type="dcterms:W3CDTF">2023-03-04T02:15:11Z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48C61CB29D3F4D9384F5922CF0F7FFB4</vt:lpwstr>
  </property>
</Properties>
</file>