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left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color w:val="000000"/>
          <w:sz w:val="44"/>
          <w:szCs w:val="44"/>
        </w:rPr>
        <w:t>《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3E3A39"/>
          <w:sz w:val="44"/>
          <w:szCs w:val="44"/>
          <w:lang w:bidi="ar-SA"/>
        </w:rPr>
        <w:t>重庆市融资租赁公司监管评价指引（试行）</w:t>
      </w:r>
      <w:r>
        <w:rPr>
          <w:rFonts w:hint="eastAsia" w:ascii="方正小标宋_GBK" w:eastAsia="方正小标宋_GBK"/>
          <w:color w:val="000000"/>
          <w:sz w:val="44"/>
          <w:szCs w:val="44"/>
        </w:rPr>
        <w:t>》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3E3A39"/>
          <w:sz w:val="44"/>
          <w:szCs w:val="44"/>
          <w:lang w:bidi="ar-SA"/>
        </w:rPr>
        <w:t>（征求意见稿）</w:t>
      </w:r>
      <w:r>
        <w:rPr>
          <w:rFonts w:hint="eastAsia" w:ascii="方正小标宋_GBK" w:hAnsi="仿宋" w:eastAsia="方正小标宋_GBK"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_GBK" w:hAnsi="仿宋" w:eastAsia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起草背景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及过程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60" w:lineRule="atLeast"/>
        <w:ind w:left="0" w:right="0" w:firstLine="7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5月，银保监会下发《融资租赁公司监督管理暂行办法》（银保监发〔2020〕22号）（以下简称“《办法》”），在第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四章“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监督管理”中明确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要求地方监督管理部门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应当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根据融资租赁公司的经营规模、风险状况、内控管理等情况，对融资租赁公司实施分类监管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。我局按照《办法》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精神，起草了《重庆市融资租赁公司监管评价指引（试行）》，以下简称《监管评价指引》。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2021年3月—9月期间，我处采取开展研讨会、座谈会、书面征求意见等方式，广泛征求全辖融资租赁机构及相关部门意见，在此基础上反复研讨完善，形成了《监管评价指引》。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1360" w:leftChars="0" w:right="0" w:rightChars="0" w:hanging="72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起草思路和主要内容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rightChars="0" w:firstLine="642" w:firstLineChars="200"/>
        <w:jc w:val="both"/>
        <w:textAlignment w:val="auto"/>
        <w:outlineLvl w:val="9"/>
        <w:rPr>
          <w:rFonts w:hint="default" w:ascii="方正仿宋_GBK" w:eastAsia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 w:cs="黑体"/>
          <w:b/>
          <w:sz w:val="32"/>
          <w:szCs w:val="32"/>
          <w:lang w:eastAsia="zh-CN"/>
        </w:rPr>
        <w:t>一</w:t>
      </w:r>
      <w:r>
        <w:rPr>
          <w:rFonts w:hint="eastAsia" w:ascii="方正仿宋_GBK" w:hAnsi="黑体" w:eastAsia="方正仿宋_GBK" w:cs="黑体"/>
          <w:b/>
          <w:sz w:val="32"/>
          <w:szCs w:val="32"/>
        </w:rPr>
        <w:t>是</w:t>
      </w:r>
      <w:r>
        <w:rPr>
          <w:rFonts w:hint="eastAsia" w:ascii="方正仿宋_GBK" w:hAnsi="黑体" w:eastAsia="方正仿宋_GBK" w:cs="黑体"/>
          <w:b/>
          <w:sz w:val="32"/>
          <w:szCs w:val="32"/>
          <w:lang w:val="en-US" w:eastAsia="zh-CN"/>
        </w:rPr>
        <w:t>依法制定</w:t>
      </w:r>
      <w:r>
        <w:rPr>
          <w:rFonts w:hint="eastAsia" w:ascii="方正仿宋_GBK" w:hAnsi="黑体" w:eastAsia="方正仿宋_GBK" w:cs="黑体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《监管评价指引》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严格遵循《办法》等上位法规定，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依法依规按照我局职能职责和权限范围制定。</w:t>
      </w:r>
      <w:r>
        <w:rPr>
          <w:rFonts w:hint="eastAsia" w:ascii="方正仿宋_GBK" w:eastAsia="方正仿宋_GBK"/>
          <w:b/>
          <w:bCs/>
          <w:color w:val="auto"/>
          <w:sz w:val="32"/>
          <w:szCs w:val="32"/>
          <w:lang w:val="en-US" w:eastAsia="zh-CN"/>
        </w:rPr>
        <w:t>二是全面评估。</w:t>
      </w:r>
      <w:r>
        <w:rPr>
          <w:rFonts w:hint="eastAsia" w:ascii="方正仿宋_GBK" w:hAnsi="Calibri" w:eastAsia="方正仿宋_GBK" w:cs="黑体"/>
          <w:color w:val="auto"/>
          <w:sz w:val="32"/>
          <w:szCs w:val="32"/>
          <w:lang w:eastAsia="zh-CN"/>
        </w:rPr>
        <w:t>在</w:t>
      </w:r>
      <w:r>
        <w:rPr>
          <w:rFonts w:hint="eastAsia" w:ascii="方正仿宋_GBK" w:hAnsi="Calibri" w:eastAsia="方正仿宋_GBK" w:cs="黑体"/>
          <w:color w:val="auto"/>
          <w:sz w:val="32"/>
          <w:szCs w:val="32"/>
          <w:lang w:val="en-US" w:eastAsia="zh-CN"/>
        </w:rPr>
        <w:t>分类评价要素的设置方面，采用了定量与定性相结合、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highlight w:val="none"/>
          <w:shd w:val="clear" w:color="auto" w:fill="FFFFFF"/>
        </w:rPr>
        <w:t>总量与结构相结合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  <w:lang w:val="en-US" w:eastAsia="zh-CN"/>
        </w:rPr>
        <w:t>激励与约束相结合，</w:t>
      </w:r>
      <w:r>
        <w:rPr>
          <w:rFonts w:hint="eastAsia" w:ascii="方正仿宋_GBK" w:hAnsi="Calibri" w:eastAsia="方正仿宋_GBK" w:cs="黑体"/>
          <w:color w:val="auto"/>
          <w:sz w:val="32"/>
          <w:szCs w:val="32"/>
          <w:lang w:eastAsia="zh-CN"/>
        </w:rPr>
        <w:t>充分考虑</w:t>
      </w:r>
      <w:r>
        <w:rPr>
          <w:rFonts w:hint="eastAsia" w:ascii="方正仿宋_GBK" w:hAnsi="Calibri" w:eastAsia="方正仿宋_GBK" w:cs="黑体"/>
          <w:color w:val="auto"/>
          <w:sz w:val="32"/>
          <w:szCs w:val="32"/>
          <w:lang w:val="en-US" w:eastAsia="zh-CN"/>
        </w:rPr>
        <w:t>融资租赁公司的经营规模、主要服务对象、内部管理水平、风险状况等实际情况进行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  <w:lang w:val="en-US" w:eastAsia="zh-CN"/>
        </w:rPr>
        <w:t>全方位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11"/>
          <w:sz w:val="32"/>
          <w:szCs w:val="32"/>
          <w:shd w:val="clear" w:color="auto" w:fill="FFFFFF"/>
          <w:lang w:val="en-US" w:eastAsia="zh-CN"/>
        </w:rPr>
        <w:t>三是分类监管。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结合监管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结果，对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val="en-US" w:eastAsia="zh-CN"/>
        </w:rPr>
        <w:t>A至D四个等次的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融资租赁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机构实施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差异化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分类监督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措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highlight w:val="none"/>
          <w:lang w:eastAsia="zh-CN"/>
        </w:rPr>
        <w:t>施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,并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highlight w:val="none"/>
        </w:rPr>
        <w:t>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立监管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评价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通报和共享机制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widowControl/>
        <w:spacing w:beforeAutospacing="0" w:afterAutospacing="0" w:line="59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监管评价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指引》</w:t>
      </w:r>
      <w:r>
        <w:rPr>
          <w:rFonts w:hint="eastAsia" w:ascii="方正仿宋_GBK" w:eastAsia="方正仿宋_GBK"/>
          <w:color w:val="auto"/>
          <w:sz w:val="32"/>
          <w:szCs w:val="32"/>
        </w:rPr>
        <w:t>共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五章十三</w:t>
      </w:r>
      <w:r>
        <w:rPr>
          <w:rFonts w:hint="eastAsia" w:ascii="方正仿宋_GBK" w:eastAsia="方正仿宋_GBK"/>
          <w:color w:val="auto"/>
          <w:sz w:val="32"/>
          <w:szCs w:val="32"/>
        </w:rPr>
        <w:t>条。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第一章是总则，说明了监管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目的、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依据、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对象等；第二章是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方式及流程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划分了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机构自评、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监管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初评、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监管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复评、反馈监管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结果、档案归集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等环节；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第三章是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指标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主要包括经营成果类、经营行为类、加分项等一级指标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第四章是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等次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评定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根据评分结果设置为A、B、C、D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个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等次；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第五章是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评价结果运用，根据评价结果，分类施策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30"/>
        <w:textAlignment w:val="auto"/>
        <w:outlineLvl w:val="9"/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三、需要说明的事项</w:t>
      </w:r>
    </w:p>
    <w:p>
      <w:pPr>
        <w:pStyle w:val="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评价工作实施。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年度监管评价工作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</w:rPr>
        <w:t>市金融监管局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  <w:lang w:eastAsia="zh-CN"/>
        </w:rPr>
        <w:t>负责组织实施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</w:rPr>
        <w:t>，各区县金融工作管理部门应配合市金融监管局对管辖地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  <w:lang w:eastAsia="zh-CN"/>
        </w:rPr>
        <w:t>融资租赁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</w:rPr>
        <w:t>公司开展监管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11"/>
          <w:sz w:val="32"/>
          <w:szCs w:val="32"/>
          <w:shd w:val="clear" w:color="auto" w:fill="FFFFFF"/>
          <w:lang w:eastAsia="zh-CN"/>
        </w:rPr>
        <w:t>考虑市区两级监管力量配备不足，可借助市场化专业化力量，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val="en-US" w:eastAsia="zh-CN"/>
        </w:rPr>
        <w:t>委托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</w:rPr>
        <w:t>第三方机构协助开展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eastAsia="zh-CN"/>
        </w:rPr>
        <w:t>监管初评</w:t>
      </w:r>
      <w:r>
        <w:rPr>
          <w:rFonts w:hint="eastAsia" w:ascii="方正仿宋_GBK" w:hAnsi="方正仿宋_GBK" w:eastAsia="方正仿宋_GBK" w:cs="方正仿宋_GBK"/>
          <w:color w:val="auto"/>
          <w:spacing w:val="11"/>
          <w:kern w:val="2"/>
          <w:sz w:val="32"/>
          <w:szCs w:val="32"/>
          <w:shd w:val="clear" w:color="auto" w:fill="FFFFFF"/>
          <w:lang w:val="en-US" w:eastAsia="zh-CN"/>
        </w:rPr>
        <w:t>工作，提升评价工作整体质效。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体现差异化监管。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为落实中央和市委市政府的政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策精神，发挥监管导向作用，督导融资租赁机构聚焦主业，在具体评价内容上，对服务乡村振兴及中小微企业融资、参与成渝双城经济圈建设典型示范等，设立加分项，发挥引导激励作用。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pacing w:val="11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pacing w:val="11"/>
          <w:kern w:val="2"/>
          <w:sz w:val="32"/>
          <w:szCs w:val="32"/>
          <w:shd w:val="clear" w:color="auto" w:fill="FFFFFF"/>
          <w:lang w:val="en-US" w:eastAsia="zh-CN" w:bidi="ar-SA"/>
        </w:rPr>
        <w:t>（三）文件印发实施。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《监管评价指引》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属于规范性文件，建议以</w:t>
      </w:r>
      <w:r>
        <w:rPr>
          <w:rFonts w:hint="eastAsia" w:ascii="方正仿宋_GBK" w:eastAsia="方正仿宋_GBK"/>
          <w:sz w:val="32"/>
          <w:szCs w:val="32"/>
          <w:lang w:eastAsia="zh-CN"/>
        </w:rPr>
        <w:t>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发文形式印发实施。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70B3C"/>
    <w:multiLevelType w:val="multilevel"/>
    <w:tmpl w:val="01570B3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3427"/>
    <w:rsid w:val="066A07CE"/>
    <w:rsid w:val="0F2FA041"/>
    <w:rsid w:val="16565924"/>
    <w:rsid w:val="1CA30B25"/>
    <w:rsid w:val="1FDF414F"/>
    <w:rsid w:val="235C266B"/>
    <w:rsid w:val="2DFDEED2"/>
    <w:rsid w:val="2F570120"/>
    <w:rsid w:val="2F873EB8"/>
    <w:rsid w:val="2FBFB251"/>
    <w:rsid w:val="2FE838A4"/>
    <w:rsid w:val="3BF9A0C5"/>
    <w:rsid w:val="3ECD50AE"/>
    <w:rsid w:val="3FC3B316"/>
    <w:rsid w:val="4008059A"/>
    <w:rsid w:val="43B66291"/>
    <w:rsid w:val="4E457700"/>
    <w:rsid w:val="509D45AC"/>
    <w:rsid w:val="53FA38D5"/>
    <w:rsid w:val="55EE0D8B"/>
    <w:rsid w:val="5EFD20D7"/>
    <w:rsid w:val="67B7730B"/>
    <w:rsid w:val="6B403427"/>
    <w:rsid w:val="6E6FCDFE"/>
    <w:rsid w:val="6FFFD2E9"/>
    <w:rsid w:val="734EF246"/>
    <w:rsid w:val="76CDDA90"/>
    <w:rsid w:val="77BF90DA"/>
    <w:rsid w:val="7AE36C33"/>
    <w:rsid w:val="7D15BC7B"/>
    <w:rsid w:val="7D5F51B7"/>
    <w:rsid w:val="7F7BF9D8"/>
    <w:rsid w:val="7FDC7E41"/>
    <w:rsid w:val="7FFDDE02"/>
    <w:rsid w:val="AF5B6A4C"/>
    <w:rsid w:val="AFBE8398"/>
    <w:rsid w:val="D3BD56FC"/>
    <w:rsid w:val="DFFFBE8D"/>
    <w:rsid w:val="ED3E9F32"/>
    <w:rsid w:val="EFED2D95"/>
    <w:rsid w:val="EFF7A7E1"/>
    <w:rsid w:val="F7B7B416"/>
    <w:rsid w:val="F7FF33C6"/>
    <w:rsid w:val="FBFFFF9C"/>
    <w:rsid w:val="FEE6C847"/>
    <w:rsid w:val="FF3EAC32"/>
    <w:rsid w:val="FFBF8D53"/>
    <w:rsid w:val="FFDEA9C6"/>
    <w:rsid w:val="FFEE6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4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2021-05-24T20:47:00Z</dcterms:created>
  <dc:creator>宋雨航</dc:creator>
  <cp:lastModifiedBy>guest</cp:lastModifiedBy>
  <cp:lastPrinted>2021-10-11T10:45:41Z</cp:lastPrinted>
  <dcterms:modified xsi:type="dcterms:W3CDTF">2021-10-11T11:13:15Z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SaveFontToCloudKey">
    <vt:lpwstr>362549805_cloud</vt:lpwstr>
  </property>
  <property fmtid="{D5CDD505-2E9C-101B-9397-08002B2CF9AE}" pid="4" name="ICV">
    <vt:lpwstr>0F30E3C57AC543B380C96B5621B2925F</vt:lpwstr>
  </property>
</Properties>
</file>