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</w:t>
      </w:r>
    </w:p>
    <w:p>
      <w:pPr>
        <w:spacing w:line="59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 xml:space="preserve"> </w:t>
      </w:r>
    </w:p>
    <w:p>
      <w:pPr>
        <w:spacing w:line="59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</w:rPr>
        <w:t>《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3E3A39"/>
          <w:sz w:val="44"/>
          <w:szCs w:val="44"/>
        </w:rPr>
        <w:t>重庆市融资租赁公司监督管理</w:t>
      </w:r>
      <w:r>
        <w:rPr>
          <w:rStyle w:val="7"/>
          <w:rFonts w:ascii="方正小标宋_GBK" w:hAnsi="方正小标宋_GBK" w:eastAsia="方正小标宋_GBK" w:cs="方正小标宋_GBK"/>
          <w:b w:val="0"/>
          <w:bCs/>
          <w:color w:val="3E3A39"/>
          <w:sz w:val="44"/>
          <w:szCs w:val="44"/>
        </w:rPr>
        <w:t>实施细则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3E3A39"/>
          <w:sz w:val="44"/>
          <w:szCs w:val="44"/>
        </w:rPr>
        <w:t>（试行）</w:t>
      </w:r>
      <w:r>
        <w:rPr>
          <w:rFonts w:hint="eastAsia" w:ascii="方正小标宋_GBK" w:eastAsia="方正小标宋_GBK"/>
          <w:color w:val="000000"/>
          <w:sz w:val="44"/>
          <w:szCs w:val="44"/>
        </w:rPr>
        <w:t>》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3E3A39"/>
          <w:sz w:val="44"/>
          <w:szCs w:val="44"/>
        </w:rPr>
        <w:t>（征求意见稿）</w:t>
      </w:r>
      <w:r>
        <w:rPr>
          <w:rFonts w:hint="eastAsia" w:ascii="方正小标宋_GBK" w:hAnsi="仿宋" w:eastAsia="方正小标宋_GBK"/>
          <w:sz w:val="44"/>
          <w:szCs w:val="44"/>
        </w:rPr>
        <w:t>起草说明</w:t>
      </w:r>
    </w:p>
    <w:p>
      <w:pPr>
        <w:spacing w:line="590" w:lineRule="exact"/>
        <w:jc w:val="center"/>
        <w:rPr>
          <w:rFonts w:ascii="方正小标宋_GBK" w:hAnsi="仿宋"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一、起草背景及过程</w:t>
      </w:r>
    </w:p>
    <w:p>
      <w:pPr>
        <w:pStyle w:val="11"/>
        <w:widowControl/>
        <w:spacing w:line="600" w:lineRule="exact"/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2020年5月，银保监会下发《融资租赁公司监督管理暂行办法》（银保监发〔2020〕22号）（以下简称“《办法》”），在第六章“附则”中明确要求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各省市</w:t>
      </w:r>
      <w:r>
        <w:rPr>
          <w:rFonts w:ascii="方正仿宋_GBK" w:hAnsi="方正仿宋_GBK" w:eastAsia="方正仿宋_GBK" w:cs="方正仿宋_GBK"/>
          <w:sz w:val="32"/>
          <w:szCs w:val="32"/>
        </w:rPr>
        <w:t>应当依据本办法制定本辖区融资租赁公司监督管理实施细则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。我局按照《办法》精神，起草了《重庆市融资租赁公司监督管理实施</w:t>
      </w:r>
      <w:r>
        <w:rPr>
          <w:rFonts w:ascii="方正仿宋_GBK" w:hAnsi="方正仿宋_GBK" w:eastAsia="方正仿宋_GBK" w:cs="方正仿宋_GBK"/>
          <w:sz w:val="32"/>
          <w:szCs w:val="32"/>
        </w:rPr>
        <w:t>细则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（试行）》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以下简称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《监管细则》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2021年3月—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月期间，我处采取开展研讨会、座谈会、书面征求意见等方式，广泛征求全辖融资租赁机构及相关部门意见，在此基础上反复研讨完善，形成了《监管细则》。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 xml:space="preserve">二、起草思路和主要内容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2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一是依法制定。</w:t>
      </w:r>
      <w:r>
        <w:rPr>
          <w:rFonts w:hint="eastAsia" w:ascii="方正仿宋_GBK" w:eastAsia="方正仿宋_GBK"/>
          <w:color w:val="auto"/>
          <w:sz w:val="32"/>
          <w:szCs w:val="32"/>
        </w:rPr>
        <w:t>《监管细则》严格遵循《办法》等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制度</w:t>
      </w:r>
      <w:r>
        <w:rPr>
          <w:rFonts w:hint="eastAsia" w:ascii="方正仿宋_GBK" w:eastAsia="方正仿宋_GBK"/>
          <w:color w:val="auto"/>
          <w:sz w:val="32"/>
          <w:szCs w:val="32"/>
        </w:rPr>
        <w:t>规定，依法依规按照我局职能职责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 w:val="32"/>
          <w:szCs w:val="32"/>
        </w:rPr>
        <w:t>权限范围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及监管实践</w:t>
      </w:r>
      <w:r>
        <w:rPr>
          <w:rFonts w:hint="eastAsia" w:ascii="方正仿宋_GBK" w:eastAsia="方正仿宋_GBK"/>
          <w:color w:val="auto"/>
          <w:sz w:val="32"/>
          <w:szCs w:val="32"/>
        </w:rPr>
        <w:t>制定，在制度规范和监管逻辑上保持一致。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2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二是经验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借鉴。</w:t>
      </w:r>
      <w:r>
        <w:rPr>
          <w:rFonts w:hint="eastAsia" w:ascii="方正仿宋_GBK" w:eastAsia="方正仿宋_GBK"/>
          <w:color w:val="auto"/>
          <w:sz w:val="32"/>
          <w:szCs w:val="32"/>
        </w:rPr>
        <w:t>《办法》出台</w:t>
      </w:r>
      <w:r>
        <w:rPr>
          <w:rFonts w:ascii="方正仿宋_GBK" w:eastAsia="方正仿宋_GBK"/>
          <w:color w:val="auto"/>
          <w:sz w:val="32"/>
          <w:szCs w:val="32"/>
        </w:rPr>
        <w:t>后，</w:t>
      </w:r>
      <w:r>
        <w:rPr>
          <w:rFonts w:hint="eastAsia" w:ascii="方正仿宋_GBK" w:eastAsia="方正仿宋_GBK"/>
          <w:color w:val="auto"/>
          <w:sz w:val="32"/>
          <w:szCs w:val="32"/>
        </w:rPr>
        <w:t>山东</w:t>
      </w:r>
      <w:r>
        <w:rPr>
          <w:rFonts w:ascii="方正仿宋_GBK" w:eastAsia="方正仿宋_GBK"/>
          <w:color w:val="auto"/>
          <w:sz w:val="32"/>
          <w:szCs w:val="32"/>
        </w:rPr>
        <w:t>省、河北省、辽宁省、</w:t>
      </w:r>
      <w:bookmarkStart w:id="0" w:name="_GoBack"/>
      <w:bookmarkEnd w:id="0"/>
      <w:r>
        <w:rPr>
          <w:rFonts w:hint="eastAsia" w:ascii="方正仿宋_GBK" w:eastAsia="方正仿宋_GBK"/>
          <w:color w:val="auto"/>
          <w:sz w:val="32"/>
          <w:szCs w:val="32"/>
        </w:rPr>
        <w:t>广西壮族自治区</w:t>
      </w:r>
      <w:r>
        <w:rPr>
          <w:rFonts w:ascii="方正仿宋_GBK" w:eastAsia="方正仿宋_GBK"/>
          <w:color w:val="auto"/>
          <w:sz w:val="32"/>
          <w:szCs w:val="32"/>
        </w:rPr>
        <w:t>、江苏省、上海市等</w:t>
      </w:r>
      <w:r>
        <w:rPr>
          <w:rFonts w:hint="eastAsia" w:ascii="方正仿宋_GBK" w:eastAsia="方正仿宋_GBK"/>
          <w:color w:val="auto"/>
          <w:sz w:val="32"/>
          <w:szCs w:val="32"/>
        </w:rPr>
        <w:t>省市</w:t>
      </w:r>
      <w:r>
        <w:rPr>
          <w:rFonts w:ascii="方正仿宋_GBK" w:eastAsia="方正仿宋_GBK"/>
          <w:color w:val="auto"/>
          <w:sz w:val="32"/>
          <w:szCs w:val="32"/>
        </w:rPr>
        <w:t>先后出台实施细则</w:t>
      </w:r>
      <w:r>
        <w:rPr>
          <w:rFonts w:hint="eastAsia" w:ascii="方正仿宋_GBK" w:eastAsia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我们在准确把握制度背景、制度逻辑和实践运行的基础上，有所借鉴，为我所用。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《监管细则》共八章七十一条。第一章是总则，</w:t>
      </w:r>
      <w:r>
        <w:rPr>
          <w:rFonts w:ascii="方正仿宋_GBK" w:eastAsia="方正仿宋_GBK"/>
          <w:color w:val="auto"/>
          <w:sz w:val="32"/>
          <w:szCs w:val="32"/>
        </w:rPr>
        <w:t>说明了</w:t>
      </w:r>
      <w:r>
        <w:rPr>
          <w:rFonts w:hint="eastAsia" w:ascii="方正仿宋_GBK" w:eastAsia="方正仿宋_GBK"/>
          <w:color w:val="auto"/>
          <w:sz w:val="32"/>
          <w:szCs w:val="32"/>
        </w:rPr>
        <w:t>监管</w:t>
      </w:r>
      <w:r>
        <w:rPr>
          <w:rFonts w:ascii="方正仿宋_GBK" w:eastAsia="方正仿宋_GBK"/>
          <w:color w:val="auto"/>
          <w:sz w:val="32"/>
          <w:szCs w:val="32"/>
        </w:rPr>
        <w:t>细则</w:t>
      </w:r>
      <w:r>
        <w:rPr>
          <w:rFonts w:hint="eastAsia" w:ascii="方正仿宋_GBK" w:eastAsia="方正仿宋_GBK"/>
          <w:color w:val="auto"/>
          <w:sz w:val="32"/>
          <w:szCs w:val="32"/>
        </w:rPr>
        <w:t>制定目的</w:t>
      </w:r>
      <w:r>
        <w:rPr>
          <w:rFonts w:ascii="方正仿宋_GBK" w:eastAsia="方正仿宋_GBK"/>
          <w:color w:val="auto"/>
          <w:sz w:val="32"/>
          <w:szCs w:val="32"/>
        </w:rPr>
        <w:t>、</w:t>
      </w:r>
      <w:r>
        <w:rPr>
          <w:rFonts w:hint="eastAsia" w:ascii="方正仿宋_GBK" w:eastAsia="方正仿宋_GBK"/>
          <w:color w:val="auto"/>
          <w:sz w:val="32"/>
          <w:szCs w:val="32"/>
        </w:rPr>
        <w:t>规范</w:t>
      </w:r>
      <w:r>
        <w:rPr>
          <w:rFonts w:ascii="方正仿宋_GBK" w:eastAsia="方正仿宋_GBK"/>
          <w:color w:val="auto"/>
          <w:sz w:val="32"/>
          <w:szCs w:val="32"/>
        </w:rPr>
        <w:t>主体、</w:t>
      </w:r>
      <w:r>
        <w:rPr>
          <w:rFonts w:hint="eastAsia" w:ascii="方正仿宋_GBK" w:eastAsia="方正仿宋_GBK"/>
          <w:color w:val="auto"/>
          <w:sz w:val="32"/>
          <w:szCs w:val="32"/>
        </w:rPr>
        <w:t>市</w:t>
      </w:r>
      <w:r>
        <w:rPr>
          <w:rFonts w:ascii="方正仿宋_GBK" w:eastAsia="方正仿宋_GBK"/>
          <w:color w:val="auto"/>
          <w:sz w:val="32"/>
          <w:szCs w:val="32"/>
        </w:rPr>
        <w:t>区</w:t>
      </w:r>
      <w:r>
        <w:rPr>
          <w:rFonts w:hint="eastAsia" w:ascii="方正仿宋_GBK" w:eastAsia="方正仿宋_GBK"/>
          <w:color w:val="auto"/>
          <w:sz w:val="32"/>
          <w:szCs w:val="32"/>
        </w:rPr>
        <w:t>（县）</w:t>
      </w:r>
      <w:r>
        <w:rPr>
          <w:rFonts w:ascii="方正仿宋_GBK" w:eastAsia="方正仿宋_GBK"/>
          <w:color w:val="auto"/>
          <w:sz w:val="32"/>
          <w:szCs w:val="32"/>
        </w:rPr>
        <w:t>两级</w:t>
      </w:r>
      <w:r>
        <w:rPr>
          <w:rFonts w:hint="eastAsia" w:ascii="方正仿宋_GBK" w:eastAsia="方正仿宋_GBK"/>
          <w:color w:val="auto"/>
          <w:sz w:val="32"/>
          <w:szCs w:val="32"/>
        </w:rPr>
        <w:t>责任</w:t>
      </w:r>
      <w:r>
        <w:rPr>
          <w:rFonts w:ascii="方正仿宋_GBK" w:eastAsia="方正仿宋_GBK"/>
          <w:color w:val="auto"/>
          <w:sz w:val="32"/>
          <w:szCs w:val="32"/>
        </w:rPr>
        <w:t>划分</w:t>
      </w:r>
      <w:r>
        <w:rPr>
          <w:rFonts w:hint="eastAsia" w:ascii="方正仿宋_GBK" w:eastAsia="方正仿宋_GBK"/>
          <w:color w:val="auto"/>
          <w:sz w:val="32"/>
          <w:szCs w:val="32"/>
        </w:rPr>
        <w:t>等；第二章是机构设立、变更与终止，划分为</w:t>
      </w:r>
      <w:r>
        <w:rPr>
          <w:rFonts w:ascii="方正仿宋_GBK" w:eastAsia="方正仿宋_GBK"/>
          <w:color w:val="auto"/>
          <w:sz w:val="32"/>
          <w:szCs w:val="32"/>
        </w:rPr>
        <w:t>机构设立、分支机构、机构</w:t>
      </w:r>
      <w:r>
        <w:rPr>
          <w:rFonts w:hint="eastAsia" w:ascii="方正仿宋_GBK" w:eastAsia="方正仿宋_GBK"/>
          <w:color w:val="auto"/>
          <w:sz w:val="32"/>
          <w:szCs w:val="32"/>
        </w:rPr>
        <w:t>变更</w:t>
      </w:r>
      <w:r>
        <w:rPr>
          <w:rFonts w:ascii="方正仿宋_GBK" w:eastAsia="方正仿宋_GBK"/>
          <w:color w:val="auto"/>
          <w:sz w:val="32"/>
          <w:szCs w:val="32"/>
        </w:rPr>
        <w:t>、机构终止等</w:t>
      </w:r>
      <w:r>
        <w:rPr>
          <w:rFonts w:hint="eastAsia" w:ascii="方正仿宋_GBK" w:eastAsia="方正仿宋_GBK"/>
          <w:color w:val="auto"/>
          <w:sz w:val="32"/>
          <w:szCs w:val="32"/>
        </w:rPr>
        <w:t>；第三章是经营规则，强化机构</w:t>
      </w:r>
      <w:r>
        <w:rPr>
          <w:rFonts w:ascii="方正仿宋_GBK" w:eastAsia="方正仿宋_GBK"/>
          <w:color w:val="auto"/>
          <w:sz w:val="32"/>
          <w:szCs w:val="32"/>
        </w:rPr>
        <w:t>服务实体经济、回归主业理念</w:t>
      </w:r>
      <w:r>
        <w:rPr>
          <w:rFonts w:hint="eastAsia" w:ascii="方正仿宋_GBK" w:eastAsia="方正仿宋_GBK"/>
          <w:color w:val="auto"/>
          <w:sz w:val="32"/>
          <w:szCs w:val="32"/>
        </w:rPr>
        <w:t>；第四章是公司治理及风险控制，强化</w:t>
      </w:r>
      <w:r>
        <w:rPr>
          <w:rFonts w:ascii="方正仿宋_GBK" w:eastAsia="方正仿宋_GBK"/>
          <w:color w:val="auto"/>
          <w:sz w:val="32"/>
          <w:szCs w:val="32"/>
        </w:rPr>
        <w:t>机构全面、审慎、</w:t>
      </w:r>
      <w:r>
        <w:rPr>
          <w:rFonts w:hint="eastAsia" w:ascii="方正仿宋_GBK" w:eastAsia="方正仿宋_GBK"/>
          <w:color w:val="auto"/>
          <w:sz w:val="32"/>
          <w:szCs w:val="32"/>
        </w:rPr>
        <w:t>有效</w:t>
      </w:r>
      <w:r>
        <w:rPr>
          <w:rFonts w:ascii="方正仿宋_GBK" w:eastAsia="方正仿宋_GBK"/>
          <w:color w:val="auto"/>
          <w:sz w:val="32"/>
          <w:szCs w:val="32"/>
        </w:rPr>
        <w:t>、独立的内控</w:t>
      </w:r>
      <w:r>
        <w:rPr>
          <w:rFonts w:hint="eastAsia" w:ascii="方正仿宋_GBK" w:eastAsia="方正仿宋_GBK"/>
          <w:color w:val="auto"/>
          <w:sz w:val="32"/>
          <w:szCs w:val="32"/>
        </w:rPr>
        <w:t>管理</w:t>
      </w:r>
      <w:r>
        <w:rPr>
          <w:rFonts w:ascii="方正仿宋_GBK" w:eastAsia="方正仿宋_GBK"/>
          <w:color w:val="auto"/>
          <w:sz w:val="32"/>
          <w:szCs w:val="32"/>
        </w:rPr>
        <w:t>，建立全面的风险</w:t>
      </w:r>
      <w:r>
        <w:rPr>
          <w:rFonts w:hint="eastAsia" w:ascii="方正仿宋_GBK" w:eastAsia="方正仿宋_GBK"/>
          <w:color w:val="auto"/>
          <w:sz w:val="32"/>
          <w:szCs w:val="32"/>
        </w:rPr>
        <w:t>管理</w:t>
      </w:r>
      <w:r>
        <w:rPr>
          <w:rFonts w:ascii="方正仿宋_GBK" w:eastAsia="方正仿宋_GBK"/>
          <w:color w:val="auto"/>
          <w:sz w:val="32"/>
          <w:szCs w:val="32"/>
        </w:rPr>
        <w:t>体系</w:t>
      </w:r>
      <w:r>
        <w:rPr>
          <w:rFonts w:hint="eastAsia" w:ascii="方正仿宋_GBK" w:eastAsia="方正仿宋_GBK"/>
          <w:color w:val="auto"/>
          <w:sz w:val="32"/>
          <w:szCs w:val="32"/>
        </w:rPr>
        <w:t>；第五章是监督指标，加强监管指标约束，推动机构专注主业，提升风险防控能力；第六章是监督管理，强调监督</w:t>
      </w:r>
      <w:r>
        <w:rPr>
          <w:rFonts w:ascii="方正仿宋_GBK" w:eastAsia="方正仿宋_GBK"/>
          <w:color w:val="auto"/>
          <w:sz w:val="32"/>
          <w:szCs w:val="32"/>
        </w:rPr>
        <w:t>管理责任</w:t>
      </w:r>
      <w:r>
        <w:rPr>
          <w:rFonts w:hint="eastAsia" w:ascii="方正仿宋_GBK" w:eastAsia="方正仿宋_GBK"/>
          <w:color w:val="auto"/>
          <w:sz w:val="32"/>
          <w:szCs w:val="32"/>
        </w:rPr>
        <w:t>，提高监管的有效性和针对性，在现有监管措施的基础上，新增了要求责令暂定</w:t>
      </w:r>
      <w:r>
        <w:rPr>
          <w:rFonts w:ascii="方正仿宋_GBK" w:eastAsia="方正仿宋_GBK"/>
          <w:color w:val="auto"/>
          <w:sz w:val="32"/>
          <w:szCs w:val="32"/>
        </w:rPr>
        <w:t>相关业务、责令停止增设分支机构</w:t>
      </w:r>
      <w:r>
        <w:rPr>
          <w:rFonts w:hint="eastAsia" w:ascii="方正仿宋_GBK" w:eastAsia="方正仿宋_GBK"/>
          <w:color w:val="auto"/>
          <w:sz w:val="32"/>
          <w:szCs w:val="32"/>
        </w:rPr>
        <w:t>等监管措施；第七章是法律责任，强调</w:t>
      </w:r>
      <w:r>
        <w:rPr>
          <w:rFonts w:ascii="方正仿宋_GBK" w:eastAsia="方正仿宋_GBK"/>
          <w:color w:val="auto"/>
          <w:sz w:val="32"/>
          <w:szCs w:val="32"/>
        </w:rPr>
        <w:t>监管处罚措施</w:t>
      </w:r>
      <w:r>
        <w:rPr>
          <w:rFonts w:hint="eastAsia" w:ascii="方正仿宋_GBK" w:eastAsia="方正仿宋_GBK"/>
          <w:color w:val="auto"/>
          <w:sz w:val="32"/>
          <w:szCs w:val="32"/>
        </w:rPr>
        <w:t>；第八章是附</w:t>
      </w:r>
      <w:r>
        <w:rPr>
          <w:rFonts w:ascii="方正仿宋_GBK" w:eastAsia="方正仿宋_GBK"/>
          <w:color w:val="auto"/>
          <w:sz w:val="32"/>
          <w:szCs w:val="32"/>
        </w:rPr>
        <w:t>则</w:t>
      </w:r>
      <w:r>
        <w:rPr>
          <w:rFonts w:hint="eastAsia" w:ascii="方正仿宋_GBK" w:eastAsia="方正仿宋_GBK"/>
          <w:color w:val="auto"/>
          <w:sz w:val="32"/>
          <w:szCs w:val="32"/>
        </w:rPr>
        <w:t>强调</w:t>
      </w:r>
      <w:r>
        <w:rPr>
          <w:rFonts w:ascii="方正仿宋_GBK" w:eastAsia="方正仿宋_GBK"/>
          <w:color w:val="auto"/>
          <w:sz w:val="32"/>
          <w:szCs w:val="32"/>
        </w:rPr>
        <w:t>过渡期</w:t>
      </w:r>
      <w:r>
        <w:rPr>
          <w:rFonts w:hint="eastAsia" w:ascii="方正仿宋_GBK" w:eastAsia="方正仿宋_GBK"/>
          <w:color w:val="auto"/>
          <w:sz w:val="32"/>
          <w:szCs w:val="32"/>
        </w:rPr>
        <w:t>、</w:t>
      </w:r>
      <w:r>
        <w:rPr>
          <w:rFonts w:ascii="方正仿宋_GBK" w:eastAsia="方正仿宋_GBK"/>
          <w:color w:val="auto"/>
          <w:sz w:val="32"/>
          <w:szCs w:val="32"/>
        </w:rPr>
        <w:t>业务集中度</w:t>
      </w:r>
      <w:r>
        <w:rPr>
          <w:rFonts w:hint="eastAsia" w:ascii="方正仿宋_GBK" w:eastAsia="方正仿宋_GBK"/>
          <w:color w:val="auto"/>
          <w:sz w:val="32"/>
          <w:szCs w:val="32"/>
        </w:rPr>
        <w:t>和</w:t>
      </w:r>
      <w:r>
        <w:rPr>
          <w:rFonts w:ascii="方正仿宋_GBK" w:eastAsia="方正仿宋_GBK"/>
          <w:color w:val="auto"/>
          <w:sz w:val="32"/>
          <w:szCs w:val="32"/>
        </w:rPr>
        <w:t>关联度监管</w:t>
      </w:r>
      <w:r>
        <w:rPr>
          <w:rFonts w:hint="eastAsia" w:ascii="方正仿宋_GBK" w:eastAsia="方正仿宋_GBK"/>
          <w:color w:val="auto"/>
          <w:sz w:val="32"/>
          <w:szCs w:val="32"/>
        </w:rPr>
        <w:t>指标</w:t>
      </w:r>
      <w:r>
        <w:rPr>
          <w:rFonts w:ascii="方正仿宋_GBK" w:eastAsia="方正仿宋_GBK"/>
          <w:color w:val="auto"/>
          <w:sz w:val="32"/>
          <w:szCs w:val="32"/>
        </w:rPr>
        <w:t>的</w:t>
      </w:r>
      <w:r>
        <w:rPr>
          <w:rFonts w:hint="eastAsia" w:ascii="方正仿宋_GBK" w:eastAsia="方正仿宋_GBK"/>
          <w:color w:val="auto"/>
          <w:sz w:val="32"/>
          <w:szCs w:val="32"/>
        </w:rPr>
        <w:t>调整范围、专用语解释</w:t>
      </w:r>
      <w:r>
        <w:rPr>
          <w:rFonts w:ascii="方正仿宋_GBK" w:eastAsia="方正仿宋_GBK"/>
          <w:color w:val="auto"/>
          <w:sz w:val="32"/>
          <w:szCs w:val="32"/>
        </w:rPr>
        <w:t>等。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三、需要说明的事项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ascii="方正仿宋_GBK" w:hAnsi="方正仿宋_GBK" w:eastAsia="方正仿宋_GBK" w:cs="方正仿宋_GBK"/>
          <w:sz w:val="32"/>
          <w:szCs w:val="32"/>
        </w:rPr>
        <w:t>明确职责，加强监督管理。明确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市地方</w:t>
      </w:r>
      <w:r>
        <w:rPr>
          <w:rFonts w:ascii="方正仿宋_GBK" w:hAnsi="方正仿宋_GBK" w:eastAsia="方正仿宋_GBK" w:cs="方正仿宋_GBK"/>
          <w:sz w:val="32"/>
          <w:szCs w:val="32"/>
        </w:rPr>
        <w:t>金融监管局和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区县</w:t>
      </w:r>
      <w:r>
        <w:rPr>
          <w:rFonts w:ascii="方正仿宋_GBK" w:hAnsi="方正仿宋_GBK" w:eastAsia="方正仿宋_GBK" w:cs="方正仿宋_GBK"/>
          <w:sz w:val="32"/>
          <w:szCs w:val="32"/>
        </w:rPr>
        <w:t>金融管理部门的职责分工，并对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区县</w:t>
      </w:r>
      <w:r>
        <w:rPr>
          <w:rFonts w:ascii="方正仿宋_GBK" w:hAnsi="方正仿宋_GBK" w:eastAsia="方正仿宋_GBK" w:cs="方正仿宋_GBK"/>
          <w:sz w:val="32"/>
          <w:szCs w:val="32"/>
        </w:rPr>
        <w:t>金融管理部门的日常监管提出了具体要求，完善监管协作机制、非现场监管、现场检查、监管谈话等内容。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ascii="方正仿宋_GBK" w:hAnsi="方正仿宋_GBK" w:eastAsia="方正仿宋_GBK" w:cs="方正仿宋_GBK"/>
          <w:sz w:val="32"/>
          <w:szCs w:val="32"/>
        </w:rPr>
        <w:t>积极稳妥，推进分类处置。针对行业现存的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ascii="方正仿宋_GBK" w:hAnsi="方正仿宋_GBK" w:eastAsia="方正仿宋_GBK" w:cs="方正仿宋_GBK"/>
          <w:sz w:val="32"/>
          <w:szCs w:val="32"/>
        </w:rPr>
        <w:t>空壳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”“</w:t>
      </w:r>
      <w:r>
        <w:rPr>
          <w:rFonts w:ascii="方正仿宋_GBK" w:hAnsi="方正仿宋_GBK" w:eastAsia="方正仿宋_GBK" w:cs="方正仿宋_GBK"/>
          <w:sz w:val="32"/>
          <w:szCs w:val="32"/>
        </w:rPr>
        <w:t>失联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ascii="方正仿宋_GBK" w:hAnsi="方正仿宋_GBK" w:eastAsia="方正仿宋_GBK" w:cs="方正仿宋_GBK"/>
          <w:sz w:val="32"/>
          <w:szCs w:val="32"/>
        </w:rPr>
        <w:t>企业较多等问题，提出了清理规范要求。按照经营风险、违法违规情形，将融资租赁公司划分为正常经营、非正常经营和违法违规经营等三类，具体明确三类公司的认定标准，指导地方稳妥实施分类处置。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</w:t>
      </w:r>
      <w:r>
        <w:rPr>
          <w:rFonts w:ascii="方正仿宋_GBK" w:hAnsi="方正仿宋_GBK" w:eastAsia="方正仿宋_GBK" w:cs="方正仿宋_GBK"/>
          <w:sz w:val="32"/>
          <w:szCs w:val="32"/>
        </w:rPr>
        <w:t>弥补短板，完善经营规则。明确融资租赁公司的业务范围、融资行为、租赁物范围以及禁止从事的业务或</w:t>
      </w:r>
      <w:r>
        <w:fldChar w:fldCharType="begin"/>
      </w:r>
      <w:r>
        <w:instrText xml:space="preserve"> HYPERLINK "http://www.china-cer.com.cn/latest_events/" \t "_blank" </w:instrText>
      </w:r>
      <w:r>
        <w:fldChar w:fldCharType="separate"/>
      </w:r>
      <w:r>
        <w:rPr>
          <w:rFonts w:ascii="方正仿宋_GBK" w:hAnsi="方正仿宋_GBK" w:eastAsia="方正仿宋_GBK" w:cs="方正仿宋_GBK"/>
          <w:sz w:val="32"/>
          <w:szCs w:val="32"/>
        </w:rPr>
        <w:t>活动</w:t>
      </w:r>
      <w:r>
        <w:rPr>
          <w:rFonts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 w:cs="方正仿宋_GBK"/>
          <w:sz w:val="32"/>
          <w:szCs w:val="32"/>
        </w:rPr>
        <w:t>。完善融资租赁公司的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、变更</w:t>
      </w:r>
      <w:r>
        <w:rPr>
          <w:rFonts w:ascii="方正仿宋_GBK" w:hAnsi="方正仿宋_GBK" w:eastAsia="方正仿宋_GBK" w:cs="方正仿宋_GBK"/>
          <w:sz w:val="32"/>
          <w:szCs w:val="32"/>
        </w:rPr>
        <w:t>、终止、公司治理、内部控制、风险管理、关联交易、计提准备金等制度，同时明确融资租赁物购置、登记、取回、价值管理等其他业务规则。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ascii="方正仿宋_GBK" w:hAnsi="方正仿宋_GBK" w:eastAsia="方正仿宋_GBK" w:cs="方正仿宋_GBK"/>
          <w:sz w:val="32"/>
          <w:szCs w:val="32"/>
        </w:rPr>
        <w:t>从严监管，落实指标约束。为引导融资租赁公司专注主业，加强对融资租赁公司的合规监管约束，设置了部分审慎监管指标内容。包括融资租赁资产比重、固定收益类证券投资业务比例、杠杆倍数、业务集中度等。</w:t>
      </w:r>
    </w:p>
    <w:p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DejaVu Sans Mono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ejaVu Sans Mono">
    <w:panose1 w:val="020B0609030804020204"/>
    <w:charset w:val="00"/>
    <w:family w:val="auto"/>
    <w:pitch w:val="default"/>
    <w:sig w:usb0="E60006FF" w:usb1="520071FB" w:usb2="02000020" w:usb3="00000000" w:csb0="6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403427"/>
    <w:rsid w:val="000B7662"/>
    <w:rsid w:val="00140618"/>
    <w:rsid w:val="00153E07"/>
    <w:rsid w:val="001C28D8"/>
    <w:rsid w:val="00427A44"/>
    <w:rsid w:val="004D1117"/>
    <w:rsid w:val="00527CCF"/>
    <w:rsid w:val="00593FEC"/>
    <w:rsid w:val="0065641D"/>
    <w:rsid w:val="00740A69"/>
    <w:rsid w:val="00765AFF"/>
    <w:rsid w:val="00892CC2"/>
    <w:rsid w:val="00BE3BDF"/>
    <w:rsid w:val="00C259C9"/>
    <w:rsid w:val="00D9333E"/>
    <w:rsid w:val="00D9633A"/>
    <w:rsid w:val="00DA2C33"/>
    <w:rsid w:val="00E14290"/>
    <w:rsid w:val="00FA2E3F"/>
    <w:rsid w:val="00FD039A"/>
    <w:rsid w:val="00FF120E"/>
    <w:rsid w:val="066A07CE"/>
    <w:rsid w:val="0F2FA041"/>
    <w:rsid w:val="16565924"/>
    <w:rsid w:val="1CA30B25"/>
    <w:rsid w:val="1FDF414F"/>
    <w:rsid w:val="235C266B"/>
    <w:rsid w:val="2DFDEED2"/>
    <w:rsid w:val="2F570120"/>
    <w:rsid w:val="2F873EB8"/>
    <w:rsid w:val="2FBFB251"/>
    <w:rsid w:val="2FE838A4"/>
    <w:rsid w:val="357D7B58"/>
    <w:rsid w:val="3A8FBD17"/>
    <w:rsid w:val="3BF9A0C5"/>
    <w:rsid w:val="3ECD50AE"/>
    <w:rsid w:val="3FC3B316"/>
    <w:rsid w:val="4008059A"/>
    <w:rsid w:val="43B66291"/>
    <w:rsid w:val="4E457700"/>
    <w:rsid w:val="509D45AC"/>
    <w:rsid w:val="538E0080"/>
    <w:rsid w:val="53FA38D5"/>
    <w:rsid w:val="55EE0D8B"/>
    <w:rsid w:val="5EFD20D7"/>
    <w:rsid w:val="67B7730B"/>
    <w:rsid w:val="680C114A"/>
    <w:rsid w:val="6B403427"/>
    <w:rsid w:val="6E6FCDFE"/>
    <w:rsid w:val="6FFFD2E9"/>
    <w:rsid w:val="734EF246"/>
    <w:rsid w:val="76CDDA90"/>
    <w:rsid w:val="77BF90DA"/>
    <w:rsid w:val="79FAE007"/>
    <w:rsid w:val="7AE36C33"/>
    <w:rsid w:val="7D15BC7B"/>
    <w:rsid w:val="7D5F51B7"/>
    <w:rsid w:val="7F7BF9D8"/>
    <w:rsid w:val="7FDC7E41"/>
    <w:rsid w:val="7FFDDE02"/>
    <w:rsid w:val="AF5B6A4C"/>
    <w:rsid w:val="AFBE8398"/>
    <w:rsid w:val="D3BD56FC"/>
    <w:rsid w:val="DFFFBE8D"/>
    <w:rsid w:val="ED3E9F32"/>
    <w:rsid w:val="EFED2D95"/>
    <w:rsid w:val="EFF7A7E1"/>
    <w:rsid w:val="F7B7B416"/>
    <w:rsid w:val="F7BF6671"/>
    <w:rsid w:val="F7FF33C6"/>
    <w:rsid w:val="FBEFF19D"/>
    <w:rsid w:val="FBFFFF9C"/>
    <w:rsid w:val="FE4EFBC4"/>
    <w:rsid w:val="FEE6C847"/>
    <w:rsid w:val="FF3EAC32"/>
    <w:rsid w:val="FFBF8D53"/>
    <w:rsid w:val="FFDEA9C6"/>
    <w:rsid w:val="FFEE6D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4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400" w:lineRule="atLeast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0"/>
    <w:rPr>
      <w:rFonts w:ascii="Times New Roman" w:hAnsi="Times New Roman"/>
      <w:kern w:val="0"/>
      <w:sz w:val="21"/>
      <w:szCs w:val="21"/>
    </w:rPr>
  </w:style>
  <w:style w:type="character" w:customStyle="1" w:styleId="12">
    <w:name w:val="页眉 Char"/>
    <w:basedOn w:val="6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1123</Characters>
  <Lines>9</Lines>
  <Paragraphs>2</Paragraphs>
  <TotalTime>0</TotalTime>
  <ScaleCrop>false</ScaleCrop>
  <LinksUpToDate>false</LinksUpToDate>
  <CharactersWithSpaces>1318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2021-10-12T17:40:00Z</dcterms:created>
  <dc:creator>宋雨航</dc:creator>
  <cp:lastModifiedBy>NAUG</cp:lastModifiedBy>
  <cp:lastPrinted>2021-10-12T02:45:00Z</cp:lastPrinted>
  <dcterms:modified xsi:type="dcterms:W3CDTF">2022-02-23T01:55:43Z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SaveFontToCloudKey">
    <vt:lpwstr>362549805_cloud</vt:lpwstr>
  </property>
  <property fmtid="{D5CDD505-2E9C-101B-9397-08002B2CF9AE}" pid="4" name="ICV">
    <vt:lpwstr>0F30E3C57AC543B380C96B5621B2925F</vt:lpwstr>
  </property>
</Properties>
</file>