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68" w:lineRule="atLeast"/>
        <w:ind w:left="0" w:firstLine="0"/>
        <w:jc w:val="center"/>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重庆市金融工作办公室</w:t>
      </w:r>
    </w:p>
    <w:p>
      <w:pPr>
        <w:pStyle w:val="2"/>
        <w:keepNext w:val="0"/>
        <w:keepLines w:val="0"/>
        <w:widowControl/>
        <w:suppressLineNumbers w:val="0"/>
        <w:spacing w:line="368" w:lineRule="atLeast"/>
        <w:ind w:left="0" w:firstLine="0"/>
        <w:jc w:val="center"/>
        <w:rPr>
          <w:rFonts w:hint="default" w:ascii="sans-serif" w:hAnsi="sans-serif" w:eastAsia="sans-serif" w:cs="sans-serif"/>
          <w:i w:val="0"/>
          <w:caps w:val="0"/>
          <w:color w:val="000000"/>
          <w:spacing w:val="0"/>
          <w:sz w:val="27"/>
          <w:szCs w:val="27"/>
        </w:rPr>
      </w:pPr>
      <w:bookmarkStart w:id="0" w:name="_GoBack"/>
      <w:r>
        <w:rPr>
          <w:rFonts w:hint="eastAsia" w:ascii="方正小标宋_GBK" w:hAnsi="方正小标宋_GBK" w:eastAsia="方正小标宋_GBK" w:cs="方正小标宋_GBK"/>
          <w:i w:val="0"/>
          <w:caps w:val="0"/>
          <w:color w:val="000000"/>
          <w:spacing w:val="0"/>
          <w:sz w:val="43"/>
          <w:szCs w:val="43"/>
        </w:rPr>
        <w:t>关于建立全市融资担保行业系统</w:t>
      </w:r>
    </w:p>
    <w:p>
      <w:pPr>
        <w:pStyle w:val="2"/>
        <w:keepNext w:val="0"/>
        <w:keepLines w:val="0"/>
        <w:widowControl/>
        <w:suppressLineNumbers w:val="0"/>
        <w:spacing w:line="368" w:lineRule="atLeas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重要性机构监管制度的通知</w:t>
      </w:r>
      <w:bookmarkEnd w:id="0"/>
    </w:p>
    <w:p>
      <w:pPr>
        <w:pStyle w:val="2"/>
        <w:keepNext w:val="0"/>
        <w:keepLines w:val="0"/>
        <w:widowControl/>
        <w:suppressLineNumbers w:val="0"/>
        <w:shd w:val="clear" w:fill="FFFFFF"/>
        <w:spacing w:before="0" w:beforeAutospacing="1" w:after="0" w:afterAutospacing="1" w:line="368" w:lineRule="atLeast"/>
        <w:ind w:left="0" w:firstLine="0"/>
        <w:jc w:val="center"/>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shd w:val="clear" w:fill="FFFFFF"/>
        </w:rPr>
        <w:t>渝金</w:t>
      </w:r>
      <w:r>
        <w:rPr>
          <w:rFonts w:hint="eastAsia" w:ascii="方正仿宋_GBK" w:hAnsi="方正仿宋_GBK" w:eastAsia="方正仿宋_GBK" w:cs="方正仿宋_GBK"/>
          <w:i w:val="0"/>
          <w:caps w:val="0"/>
          <w:color w:val="000000"/>
          <w:spacing w:val="0"/>
          <w:sz w:val="31"/>
          <w:szCs w:val="31"/>
          <w:shd w:val="clear" w:fill="FFFFFF"/>
        </w:rPr>
        <w:t>〔2015〕223号</w:t>
      </w:r>
    </w:p>
    <w:p>
      <w:pPr>
        <w:pStyle w:val="2"/>
        <w:keepNext w:val="0"/>
        <w:keepLines w:val="0"/>
        <w:widowControl/>
        <w:suppressLineNumbers w:val="0"/>
        <w:spacing w:line="368" w:lineRule="atLeast"/>
        <w:ind w:left="0" w:firstLine="0"/>
        <w:rPr>
          <w:rFonts w:hint="default" w:ascii="sans-serif" w:hAnsi="sans-serif" w:eastAsia="sans-serif" w:cs="sans-serif"/>
          <w:i w:val="0"/>
          <w:caps w:val="0"/>
          <w:color w:val="000000"/>
          <w:spacing w:val="0"/>
          <w:sz w:val="27"/>
          <w:szCs w:val="27"/>
        </w:rPr>
      </w:pPr>
      <w:r>
        <w:rPr>
          <w:rFonts w:ascii="Calibri" w:hAnsi="Calibri" w:eastAsia="sans-serif" w:cs="Calibri"/>
          <w:i w:val="0"/>
          <w:caps w:val="0"/>
          <w:color w:val="000000"/>
          <w:spacing w:val="0"/>
          <w:sz w:val="21"/>
          <w:szCs w:val="21"/>
        </w:rPr>
        <w:t> </w:t>
      </w:r>
    </w:p>
    <w:p>
      <w:pPr>
        <w:pStyle w:val="2"/>
        <w:keepNext w:val="0"/>
        <w:keepLines w:val="0"/>
        <w:widowControl/>
        <w:suppressLineNumbers w:val="0"/>
        <w:shd w:val="clear" w:fill="FFFFFF"/>
        <w:spacing w:line="368" w:lineRule="atLeas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各区县（自治县）金融办（金融工作管理部门），两江新区金融发展部，北部新区现代服务业局，保税港区金融办，万盛经开区金融办，各融资担保公司：  </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为加强对我市融资担保机构的监管，我办建立了全市融资担保行业系统重要性机构（以下简称系统重要性机构）监管制度，根据行业及机构相关指标，选取一定数量的系统重要性机构加强日常监管。现将有关要求通知如下：</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ascii="黑体" w:hAnsi="宋体" w:eastAsia="黑体" w:cs="黑体"/>
          <w:i w:val="0"/>
          <w:caps w:val="0"/>
          <w:color w:val="000000"/>
          <w:spacing w:val="0"/>
          <w:sz w:val="31"/>
          <w:szCs w:val="31"/>
          <w:shd w:val="clear" w:fill="FFFFFF"/>
        </w:rPr>
        <w:t>一、系统重要性机构定义及适用范围</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系统重要性机构是指在我市融资担保体系中居于重要地位、承担特殊功能，其出现重大风险会对全市融资担保体系、金融行业及经济活动造成重大影响的融资担保机构。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系统重要性机构须满足：注册资本金3亿元以上（含3亿元），且融资性担保责任余额20亿元以上（含20亿元）；或者未达到以上条件，但监管部门认为有必要纳入系统重要性机构的。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系统重要性机构原则上每年变更一次，选取的定量指标为上一年年末数据。</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二、系统重要性机构日常监管</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系统重要性机构日常监管由市金融办主监管，注册地及办公地区县金融办协助监管，同时实行以下特殊监管制度：</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31"/>
          <w:szCs w:val="31"/>
          <w:shd w:val="clear" w:fill="FFFFFF"/>
        </w:rPr>
        <w:t>（一）实行重大事项报告制度。</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系统重要性机构发生以下重大事件须及时向我办和注册地区（县）金融办报告简要情况，24小时内报告具体情况及应急预案，监管部门将视具体情况采取进一步措施。</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1．引发群体事件的。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2．发生担保诈骗、单笔金额可能达到2000万或占其净资产3%以上、累计可能达到1亿元或占其净资产5%以上的担保代偿及投资损失的，机构单笔对外投资超过净资产5%或累计对外投资超过其净资产20%的，发生资金拆借行为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3．重大债权到期未获清偿致使其流动性困难，或无力清偿到期债务的。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4．主要资产被查封、扣押、冻结的。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5．因涉嫌违法违规被行政机关、司法机关立案调查的。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6．出资人虚假出资、抽逃出资或出资人对公司造成其他重大不利影响的。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7．3个月内，机构董事会、监事会或高级管理层中有三分之一以上辞职的。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8．董事长、监事长、总经理、法定代表人或实际控制人失踪、非正常死亡或丧失民事行为能力的，或被司法机关依法采取强制措施的；控股股东经营状况出现重大风险事件的。</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31"/>
          <w:szCs w:val="31"/>
          <w:shd w:val="clear" w:fill="FFFFFF"/>
        </w:rPr>
        <w:t>（二）实行季度报告制度。</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系统重要性机构须在季初第一个月10日前将公司上季度业务发展报告报送市金融办（含公司基本情况、业务经营、业务风险、内部控制与风险管理、公司治理、下一步打算及建议等）。</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31"/>
          <w:szCs w:val="31"/>
          <w:shd w:val="clear" w:fill="FFFFFF"/>
        </w:rPr>
        <w:t>（三）实行列席机构重要会议制度。</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市金融办视情况列席机构股东会、董事会、总经理办公会等会议；适时召集系统重要性机构负责人及业务部门负责人进行座谈；适时选派人员到系统重要性机构进行挂职锻炼，了解行业发展情况。</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31"/>
          <w:szCs w:val="31"/>
          <w:shd w:val="clear" w:fill="FFFFFF"/>
        </w:rPr>
        <w:t>（四）实行差异化监管制度。</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市金融办根据年度监管评价及行业风险状况等情况对系统重要性机构实行差异化监管制度。</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1．结合年度监管评价情况，调整对系统重要性机构现场检查的频度和力度；对系统重要性机构主要监管指标（如融资担保放大倍数、准备金提取比重、单笔担保金额及对外投资占净资产比重等指标）进行动态调整；并适度调整其在创新业务的监管要求。  </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2．在年度监管评价、评优给予系统重要性机构适度加分。</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请有关机构按通知要求执行。2015年系统重要性机构须于2015年9月15日前将本机构基本情况报告报送我办(报告模板见附件）。</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特此通知</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 </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附件：XX融资担保XX公司XX年XX季度基本情况报告</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 </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 </w:t>
      </w:r>
    </w:p>
    <w:p>
      <w:pPr>
        <w:pStyle w:val="2"/>
        <w:keepNext w:val="0"/>
        <w:keepLines w:val="0"/>
        <w:widowControl/>
        <w:suppressLineNumbers w:val="0"/>
        <w:shd w:val="clear" w:fill="FFFFFF"/>
        <w:spacing w:line="368" w:lineRule="atLeast"/>
        <w:ind w:left="0" w:firstLine="645"/>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                         重庆市金融工作办公室</w:t>
      </w:r>
    </w:p>
    <w:p>
      <w:pPr>
        <w:pStyle w:val="2"/>
        <w:keepNext w:val="0"/>
        <w:keepLines w:val="0"/>
        <w:widowControl/>
        <w:suppressLineNumbers w:val="0"/>
        <w:shd w:val="clear" w:fill="FFFFFF"/>
        <w:spacing w:line="368" w:lineRule="atLeast"/>
        <w:ind w:left="0" w:firstLine="645"/>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                            2015年8月28日</w:t>
      </w:r>
    </w:p>
    <w:p>
      <w:pPr>
        <w:pStyle w:val="2"/>
        <w:keepNext w:val="0"/>
        <w:keepLines w:val="0"/>
        <w:widowControl/>
        <w:suppressLineNumbers w:val="0"/>
        <w:spacing w:line="368" w:lineRule="atLeast"/>
        <w:ind w:lef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line="368" w:lineRule="atLeast"/>
        <w:ind w:left="0" w:firstLine="0"/>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附件</w:t>
      </w:r>
    </w:p>
    <w:p>
      <w:pPr>
        <w:pStyle w:val="2"/>
        <w:keepNext w:val="0"/>
        <w:keepLines w:val="0"/>
        <w:widowControl/>
        <w:suppressLineNumbers w:val="0"/>
        <w:spacing w:line="368" w:lineRule="atLeas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XX融资担保XX公司</w:t>
      </w:r>
    </w:p>
    <w:p>
      <w:pPr>
        <w:pStyle w:val="2"/>
        <w:keepNext w:val="0"/>
        <w:keepLines w:val="0"/>
        <w:widowControl/>
        <w:suppressLineNumbers w:val="0"/>
        <w:spacing w:line="368" w:lineRule="atLeas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XX年XX季度基本情况报告</w:t>
      </w:r>
    </w:p>
    <w:p>
      <w:pPr>
        <w:pStyle w:val="2"/>
        <w:keepNext w:val="0"/>
        <w:keepLines w:val="0"/>
        <w:widowControl/>
        <w:suppressLineNumbers w:val="0"/>
        <w:spacing w:line="368" w:lineRule="atLeast"/>
        <w:ind w:left="0" w:firstLine="0"/>
        <w:rPr>
          <w:rFonts w:hint="default" w:ascii="sans-serif" w:hAnsi="sans-serif" w:eastAsia="sans-serif" w:cs="sans-serif"/>
          <w:i w:val="0"/>
          <w:caps w:val="0"/>
          <w:color w:val="000000"/>
          <w:spacing w:val="0"/>
          <w:sz w:val="27"/>
          <w:szCs w:val="27"/>
        </w:rPr>
      </w:pPr>
      <w:r>
        <w:rPr>
          <w:rFonts w:hint="default" w:ascii="Calibri" w:hAnsi="Calibri" w:eastAsia="sans-serif" w:cs="Calibri"/>
          <w:i w:val="0"/>
          <w:caps w:val="0"/>
          <w:color w:val="000000"/>
          <w:spacing w:val="0"/>
          <w:sz w:val="31"/>
          <w:szCs w:val="31"/>
        </w:rPr>
        <w:t> </w:t>
      </w:r>
    </w:p>
    <w:p>
      <w:pPr>
        <w:pStyle w:val="2"/>
        <w:keepNext w:val="0"/>
        <w:keepLines w:val="0"/>
        <w:widowControl/>
        <w:suppressLineNumbers w:val="0"/>
        <w:shd w:val="clear" w:fill="FFFFFF"/>
        <w:spacing w:line="368" w:lineRule="atLeas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重庆市金融办：</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根据XXXX通知要求，现将我司基本情况报告如下：</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一、基本情况</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公司概况：包括发展历程、股权结构、治理结构、组织架构、内控等配套制度及董、监、高配置情况及名单（包括职务、年龄、性别及联系方式）。</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经营情况：包括资产负债情况、收入利润情况、业务规模、行业结构、资金运用、风险发生及代偿、互联网担保等。填写《XX年XX季度经营情况表》（表1）。</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二、存在的问题及建议</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（一）当前行业发展中存在的问题</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结合我市融资担保行业实际，指出存在的主要问题。</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（二）当前公司发展中遇到的困难</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结合公司发展实际，提出发展中遇到的突出困难。</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（三）下一步发展的打算及对监管工作的建议</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结合（一）和（二）中总结的问题和困难，提出公司下一步的打算、对融资担保行业发展前景的思考及对监管部门的意见和建议。</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31"/>
          <w:szCs w:val="31"/>
          <w:shd w:val="clear" w:fill="FFFFFF"/>
        </w:rPr>
        <w:t>三、发展预测</w:t>
      </w:r>
    </w:p>
    <w:p>
      <w:pPr>
        <w:pStyle w:val="2"/>
        <w:keepNext w:val="0"/>
        <w:keepLines w:val="0"/>
        <w:widowControl/>
        <w:suppressLineNumbers w:val="0"/>
        <w:shd w:val="clear" w:fill="FFFFFF"/>
        <w:spacing w:line="368" w:lineRule="atLeas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结合对今年经济形势、行业发展趋势的预判，对公司今年经营计划和风险管控措施进行说明，并预测公司本年年底主要发展指标。填写《XX年经营预测表》（表2）</w:t>
      </w:r>
      <w:r>
        <w:rPr>
          <w:rFonts w:hint="eastAsia" w:ascii="方正仿宋_GBK" w:hAnsi="方正仿宋_GBK" w:eastAsia="方正仿宋_GBK" w:cs="方正仿宋_GBK"/>
          <w:i w:val="0"/>
          <w:caps w:val="0"/>
          <w:color w:val="000000"/>
          <w:spacing w:val="0"/>
          <w:sz w:val="24"/>
          <w:szCs w:val="24"/>
          <w:shd w:val="clear" w:fill="FFFFFF"/>
        </w:rPr>
        <w:t>。</w:t>
      </w:r>
    </w:p>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line="315" w:lineRule="atLeast"/>
        <w:ind w:left="0" w:firstLine="0"/>
        <w:jc w:val="center"/>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21"/>
          <w:szCs w:val="21"/>
        </w:rPr>
        <w:t>表1：XX年XX季度经营情况表（单位：亿元）</w:t>
      </w:r>
    </w:p>
    <w:tbl>
      <w:tblPr>
        <w:tblW w:w="8514" w:type="dxa"/>
        <w:jc w:val="center"/>
        <w:tblInd w:w="1"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1357"/>
        <w:gridCol w:w="1869"/>
        <w:gridCol w:w="1815"/>
        <w:gridCol w:w="1587"/>
        <w:gridCol w:w="188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35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方正黑体_GBK" w:hAnsi="方正黑体_GBK" w:eastAsia="方正黑体_GBK" w:cs="方正黑体_GBK"/>
                <w:i w:val="0"/>
                <w:caps w:val="0"/>
                <w:color w:val="000000"/>
                <w:spacing w:val="0"/>
                <w:sz w:val="18"/>
                <w:szCs w:val="18"/>
                <w:bdr w:val="none" w:color="auto" w:sz="0" w:space="0"/>
              </w:rPr>
              <w:t>指  </w:t>
            </w:r>
            <w:r>
              <w:rPr>
                <w:rFonts w:hint="eastAsia" w:ascii="方正黑体_GBK" w:hAnsi="方正黑体_GBK" w:eastAsia="方正黑体_GBK" w:cs="方正黑体_GBK"/>
                <w:i w:val="0"/>
                <w:caps w:val="0"/>
                <w:color w:val="000000"/>
                <w:spacing w:val="0"/>
                <w:sz w:val="18"/>
                <w:szCs w:val="18"/>
                <w:bdr w:val="none" w:color="auto" w:sz="0" w:space="0"/>
              </w:rPr>
              <w:t>标</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XX年XX季末</w:t>
            </w: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同比增长（%）</w:t>
            </w: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比年初增长（%）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资产状况</w:t>
            </w: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注册资金</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总资产</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净资产</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业务发展</w:t>
            </w: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担保发生额</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在保余额</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放大倍数（</w:t>
            </w:r>
            <w:r>
              <w:rPr>
                <w:rFonts w:hint="default" w:ascii="Calibri" w:hAnsi="Calibri" w:eastAsia="宋体" w:cs="Calibri"/>
                <w:i w:val="0"/>
                <w:caps w:val="0"/>
                <w:color w:val="000000"/>
                <w:spacing w:val="0"/>
                <w:sz w:val="18"/>
                <w:szCs w:val="18"/>
                <w:bdr w:val="none" w:color="auto" w:sz="0" w:space="0"/>
              </w:rPr>
              <w:t>*</w:t>
            </w:r>
            <w:r>
              <w:rPr>
                <w:rFonts w:hint="eastAsia" w:ascii="宋体" w:hAnsi="宋体" w:eastAsia="宋体" w:cs="宋体"/>
                <w:i w:val="0"/>
                <w:caps w:val="0"/>
                <w:color w:val="000000"/>
                <w:spacing w:val="0"/>
                <w:sz w:val="18"/>
                <w:szCs w:val="18"/>
                <w:bdr w:val="none" w:color="auto" w:sz="0" w:space="0"/>
              </w:rPr>
              <w:t>）</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净资产收益（</w:t>
            </w:r>
            <w:r>
              <w:rPr>
                <w:rFonts w:hint="default" w:ascii="Calibri" w:hAnsi="Calibri" w:eastAsia="宋体" w:cs="Calibri"/>
                <w:i w:val="0"/>
                <w:caps w:val="0"/>
                <w:color w:val="000000"/>
                <w:spacing w:val="0"/>
                <w:sz w:val="18"/>
                <w:szCs w:val="18"/>
                <w:bdr w:val="none" w:color="auto" w:sz="0" w:space="0"/>
              </w:rPr>
              <w:t>*</w:t>
            </w:r>
            <w:r>
              <w:rPr>
                <w:rFonts w:hint="eastAsia" w:ascii="宋体" w:hAnsi="宋体" w:eastAsia="宋体" w:cs="宋体"/>
                <w:i w:val="0"/>
                <w:caps w:val="0"/>
                <w:color w:val="000000"/>
                <w:spacing w:val="0"/>
                <w:sz w:val="18"/>
                <w:szCs w:val="18"/>
                <w:bdr w:val="none" w:color="auto" w:sz="0" w:space="0"/>
              </w:rPr>
              <w:t>）</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资金运用</w:t>
            </w: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银行存款</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固定资产</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存出保证金</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委托贷款余额</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对外投资余额</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其  他</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风险控制</w:t>
            </w: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本年累计代偿</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代偿余额</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代偿率（</w:t>
            </w:r>
            <w:r>
              <w:rPr>
                <w:rFonts w:hint="default" w:ascii="Calibri" w:hAnsi="Calibri" w:eastAsia="宋体" w:cs="Calibri"/>
                <w:i w:val="0"/>
                <w:caps w:val="0"/>
                <w:color w:val="000000"/>
                <w:spacing w:val="0"/>
                <w:sz w:val="18"/>
                <w:szCs w:val="18"/>
                <w:bdr w:val="none" w:color="auto" w:sz="0" w:space="0"/>
              </w:rPr>
              <w:t>*</w:t>
            </w:r>
            <w:r>
              <w:rPr>
                <w:rFonts w:hint="eastAsia" w:ascii="宋体" w:hAnsi="宋体" w:eastAsia="宋体" w:cs="宋体"/>
                <w:i w:val="0"/>
                <w:caps w:val="0"/>
                <w:color w:val="000000"/>
                <w:spacing w:val="0"/>
                <w:sz w:val="18"/>
                <w:szCs w:val="18"/>
                <w:bdr w:val="none" w:color="auto" w:sz="0" w:space="0"/>
              </w:rPr>
              <w:t>）</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本年累计损失</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损失率（</w:t>
            </w:r>
            <w:r>
              <w:rPr>
                <w:rFonts w:hint="default" w:ascii="Calibri" w:hAnsi="Calibri" w:eastAsia="宋体" w:cs="Calibri"/>
                <w:i w:val="0"/>
                <w:caps w:val="0"/>
                <w:color w:val="000000"/>
                <w:spacing w:val="0"/>
                <w:sz w:val="18"/>
                <w:szCs w:val="18"/>
                <w:bdr w:val="none" w:color="auto" w:sz="0" w:space="0"/>
              </w:rPr>
              <w:t>*</w:t>
            </w:r>
            <w:r>
              <w:rPr>
                <w:rFonts w:hint="eastAsia" w:ascii="宋体" w:hAnsi="宋体" w:eastAsia="宋体" w:cs="宋体"/>
                <w:i w:val="0"/>
                <w:caps w:val="0"/>
                <w:color w:val="000000"/>
                <w:spacing w:val="0"/>
                <w:sz w:val="18"/>
                <w:szCs w:val="18"/>
                <w:bdr w:val="none" w:color="auto" w:sz="0" w:space="0"/>
              </w:rPr>
              <w:t>）</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准备金余额</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拨备覆盖率（</w:t>
            </w:r>
            <w:r>
              <w:rPr>
                <w:rFonts w:hint="default" w:ascii="Calibri" w:hAnsi="Calibri" w:eastAsia="宋体" w:cs="Calibri"/>
                <w:i w:val="0"/>
                <w:caps w:val="0"/>
                <w:color w:val="000000"/>
                <w:spacing w:val="0"/>
                <w:sz w:val="18"/>
                <w:szCs w:val="18"/>
                <w:bdr w:val="none" w:color="auto" w:sz="0" w:space="0"/>
              </w:rPr>
              <w:t>*</w:t>
            </w:r>
            <w:r>
              <w:rPr>
                <w:rFonts w:hint="eastAsia" w:ascii="宋体" w:hAnsi="宋体" w:eastAsia="宋体" w:cs="宋体"/>
                <w:i w:val="0"/>
                <w:caps w:val="0"/>
                <w:color w:val="000000"/>
                <w:spacing w:val="0"/>
                <w:sz w:val="18"/>
                <w:szCs w:val="18"/>
                <w:bdr w:val="none" w:color="auto" w:sz="0" w:space="0"/>
              </w:rPr>
              <w:t>）</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互联网担保</w:t>
            </w: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本年累计发生额</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357"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186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caps w:val="0"/>
                <w:color w:val="000000"/>
                <w:spacing w:val="0"/>
                <w:sz w:val="18"/>
                <w:szCs w:val="18"/>
                <w:bdr w:val="none" w:color="auto" w:sz="0" w:space="0"/>
              </w:rPr>
              <w:t>余  额</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8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88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bl>
    <w:p>
      <w:pPr>
        <w:pStyle w:val="2"/>
        <w:keepNext w:val="0"/>
        <w:keepLines w:val="0"/>
        <w:widowControl/>
        <w:suppressLineNumbers w:val="0"/>
        <w:spacing w:line="360" w:lineRule="atLeas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1"/>
          <w:szCs w:val="21"/>
        </w:rPr>
        <w:t>注释：</w:t>
      </w:r>
    </w:p>
    <w:p>
      <w:pPr>
        <w:pStyle w:val="2"/>
        <w:keepNext w:val="0"/>
        <w:keepLines w:val="0"/>
        <w:widowControl/>
        <w:suppressLineNumbers w:val="0"/>
        <w:spacing w:line="360" w:lineRule="atLeas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1"/>
          <w:szCs w:val="21"/>
        </w:rPr>
        <w:t>1．按《融资性担保行业统计报表制度》（银监发〔2010〕80号）规定填写；</w:t>
      </w:r>
    </w:p>
    <w:p>
      <w:pPr>
        <w:pStyle w:val="2"/>
        <w:keepNext w:val="0"/>
        <w:keepLines w:val="0"/>
        <w:widowControl/>
        <w:suppressLineNumbers w:val="0"/>
        <w:spacing w:line="360" w:lineRule="atLeas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1"/>
          <w:szCs w:val="21"/>
        </w:rPr>
        <w:t>2．标注（*）的指标需列出计算公式；</w:t>
      </w:r>
    </w:p>
    <w:p>
      <w:pPr>
        <w:pStyle w:val="2"/>
        <w:keepNext w:val="0"/>
        <w:keepLines w:val="0"/>
        <w:widowControl/>
        <w:suppressLineNumbers w:val="0"/>
        <w:spacing w:line="360" w:lineRule="atLeas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1"/>
          <w:szCs w:val="21"/>
        </w:rPr>
        <w:t>3．公司如开展资金运用和互联网担保业务，需做出详细说明。</w:t>
      </w:r>
    </w:p>
    <w:p>
      <w:pPr>
        <w:pStyle w:val="2"/>
        <w:keepNext w:val="0"/>
        <w:keepLines w:val="0"/>
        <w:widowControl/>
        <w:suppressLineNumbers w:val="0"/>
        <w:spacing w:line="360" w:lineRule="atLeas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1"/>
          <w:szCs w:val="21"/>
        </w:rPr>
        <w:t> </w:t>
      </w:r>
    </w:p>
    <w:p>
      <w:pPr>
        <w:pStyle w:val="2"/>
        <w:keepNext w:val="0"/>
        <w:keepLines w:val="0"/>
        <w:widowControl/>
        <w:suppressLineNumbers w:val="0"/>
        <w:spacing w:line="360" w:lineRule="atLeas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1"/>
          <w:szCs w:val="21"/>
        </w:rPr>
        <w:t> </w:t>
      </w:r>
    </w:p>
    <w:p>
      <w:pPr>
        <w:pStyle w:val="2"/>
        <w:keepNext w:val="0"/>
        <w:keepLines w:val="0"/>
        <w:widowControl/>
        <w:suppressLineNumbers w:val="0"/>
        <w:spacing w:line="315" w:lineRule="atLeast"/>
        <w:ind w:left="0" w:firstLine="0"/>
        <w:jc w:val="center"/>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21"/>
          <w:szCs w:val="21"/>
        </w:rPr>
        <w:t>表2：XX年年末经营预测表（单位：亿元）</w:t>
      </w:r>
    </w:p>
    <w:tbl>
      <w:tblPr>
        <w:tblW w:w="8513" w:type="dxa"/>
        <w:jc w:val="center"/>
        <w:tblInd w:w="2"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689"/>
        <w:gridCol w:w="2398"/>
        <w:gridCol w:w="2548"/>
        <w:gridCol w:w="287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510" w:hRule="atLeast"/>
          <w:jc w:val="center"/>
        </w:trPr>
        <w:tc>
          <w:tcPr>
            <w:tcW w:w="6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23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预测指标</w:t>
            </w:r>
          </w:p>
        </w:tc>
        <w:tc>
          <w:tcPr>
            <w:tcW w:w="254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全年/年末数据</w:t>
            </w:r>
          </w:p>
        </w:tc>
        <w:tc>
          <w:tcPr>
            <w:tcW w:w="287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较上一年增长（%）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10" w:hRule="atLeast"/>
          <w:jc w:val="center"/>
        </w:trPr>
        <w:tc>
          <w:tcPr>
            <w:tcW w:w="6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1</w:t>
            </w:r>
          </w:p>
        </w:tc>
        <w:tc>
          <w:tcPr>
            <w:tcW w:w="23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全年担保业务发生额</w:t>
            </w:r>
          </w:p>
        </w:tc>
        <w:tc>
          <w:tcPr>
            <w:tcW w:w="254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287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10" w:hRule="atLeast"/>
          <w:jc w:val="center"/>
        </w:trPr>
        <w:tc>
          <w:tcPr>
            <w:tcW w:w="6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2</w:t>
            </w:r>
          </w:p>
        </w:tc>
        <w:tc>
          <w:tcPr>
            <w:tcW w:w="23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年末在保余额</w:t>
            </w:r>
          </w:p>
        </w:tc>
        <w:tc>
          <w:tcPr>
            <w:tcW w:w="254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287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10" w:hRule="atLeast"/>
          <w:jc w:val="center"/>
        </w:trPr>
        <w:tc>
          <w:tcPr>
            <w:tcW w:w="6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3</w:t>
            </w:r>
          </w:p>
        </w:tc>
        <w:tc>
          <w:tcPr>
            <w:tcW w:w="23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放大倍数</w:t>
            </w:r>
          </w:p>
        </w:tc>
        <w:tc>
          <w:tcPr>
            <w:tcW w:w="254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287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10" w:hRule="atLeast"/>
          <w:jc w:val="center"/>
        </w:trPr>
        <w:tc>
          <w:tcPr>
            <w:tcW w:w="6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4</w:t>
            </w:r>
          </w:p>
        </w:tc>
        <w:tc>
          <w:tcPr>
            <w:tcW w:w="23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全年营业收入</w:t>
            </w:r>
          </w:p>
        </w:tc>
        <w:tc>
          <w:tcPr>
            <w:tcW w:w="254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287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10" w:hRule="atLeast"/>
          <w:jc w:val="center"/>
        </w:trPr>
        <w:tc>
          <w:tcPr>
            <w:tcW w:w="6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5</w:t>
            </w:r>
          </w:p>
        </w:tc>
        <w:tc>
          <w:tcPr>
            <w:tcW w:w="23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全年净利润</w:t>
            </w:r>
          </w:p>
        </w:tc>
        <w:tc>
          <w:tcPr>
            <w:tcW w:w="254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287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10" w:hRule="atLeast"/>
          <w:jc w:val="center"/>
        </w:trPr>
        <w:tc>
          <w:tcPr>
            <w:tcW w:w="6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6</w:t>
            </w:r>
          </w:p>
        </w:tc>
        <w:tc>
          <w:tcPr>
            <w:tcW w:w="23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代偿率</w:t>
            </w:r>
          </w:p>
        </w:tc>
        <w:tc>
          <w:tcPr>
            <w:tcW w:w="254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287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10" w:hRule="atLeast"/>
          <w:jc w:val="center"/>
        </w:trPr>
        <w:tc>
          <w:tcPr>
            <w:tcW w:w="6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7</w:t>
            </w:r>
          </w:p>
        </w:tc>
        <w:tc>
          <w:tcPr>
            <w:tcW w:w="23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损失率</w:t>
            </w:r>
          </w:p>
        </w:tc>
        <w:tc>
          <w:tcPr>
            <w:tcW w:w="254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287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10" w:hRule="atLeast"/>
          <w:jc w:val="center"/>
        </w:trPr>
        <w:tc>
          <w:tcPr>
            <w:tcW w:w="6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caps w:val="0"/>
                <w:color w:val="000000"/>
                <w:spacing w:val="0"/>
                <w:sz w:val="18"/>
                <w:szCs w:val="18"/>
                <w:bdr w:val="none" w:color="auto" w:sz="0" w:space="0"/>
              </w:rPr>
              <w:t>8</w:t>
            </w:r>
          </w:p>
        </w:tc>
        <w:tc>
          <w:tcPr>
            <w:tcW w:w="23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黑体_GBK" w:hAnsi="方正黑体_GBK" w:eastAsia="方正黑体_GBK" w:cs="方正黑体_GBK"/>
                <w:i w:val="0"/>
                <w:caps w:val="0"/>
                <w:color w:val="000000"/>
                <w:spacing w:val="0"/>
                <w:sz w:val="18"/>
                <w:szCs w:val="18"/>
                <w:bdr w:val="none" w:color="auto" w:sz="0" w:space="0"/>
              </w:rPr>
              <w:t>净资产收益率</w:t>
            </w:r>
          </w:p>
        </w:tc>
        <w:tc>
          <w:tcPr>
            <w:tcW w:w="254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287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bl>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27"/>
          <w:szCs w:val="27"/>
        </w:rPr>
      </w:pPr>
      <w:r>
        <w:rPr>
          <w:rFonts w:hint="default" w:ascii="Calibri" w:hAnsi="Calibri" w:eastAsia="sans-serif" w:cs="Calibri"/>
          <w:i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A2F57"/>
    <w:rsid w:val="7BFA2F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2022-08-20T04:38:00Z</dcterms:created>
  <dc:creator>关皓天</dc:creator>
  <cp:lastModifiedBy>关皓天</cp:lastModifiedBy>
  <dcterms:modified xsi:type="dcterms:W3CDTF">2022-08-20T04:39:22Z</dcterms:modified>
  <dc:title>重庆市金融工作办公室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