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widowControl/>
        <w:rPr>
          <w:rFonts w:hint="eastAsia" w:ascii="Times New Roman" w:hAnsi="Times New Roman" w:eastAsia="方正小标宋_GBK" w:cs="方正小标宋_GBK"/>
          <w:kern w:val="2"/>
          <w:sz w:val="44"/>
          <w:szCs w:val="44"/>
        </w:rPr>
      </w:pPr>
      <w:bookmarkStart w:id="0" w:name="_GoBack"/>
      <w:r>
        <w:rPr>
          <w:rFonts w:hint="eastAsia" w:ascii="Times New Roman" w:hAnsi="Times New Roman" w:eastAsia="方正小标宋_GBK" w:cs="方正小标宋_GBK"/>
          <w:kern w:val="2"/>
          <w:sz w:val="44"/>
          <w:szCs w:val="44"/>
        </w:rPr>
        <w:t>关于加强商业保理行业日常监管工作的通知</w:t>
      </w:r>
    </w:p>
    <w:p>
      <w:pPr>
        <w:pStyle w:val="6"/>
        <w:widowControl/>
        <w:rPr>
          <w:rFonts w:hint="eastAsia" w:ascii="Times New Roman" w:hAnsi="Times New Roman" w:eastAsia="方正仿宋_GBK" w:cs="方正仿宋_GBK"/>
          <w:kern w:val="2"/>
          <w:sz w:val="32"/>
          <w:szCs w:val="32"/>
          <w:lang w:eastAsia="zh-CN"/>
        </w:rPr>
      </w:pPr>
      <w:r>
        <w:rPr>
          <w:rFonts w:hint="eastAsia" w:ascii="Times New Roman" w:hAnsi="Times New Roman" w:eastAsia="方正小标宋_GBK" w:cs="方正小标宋_GBK"/>
          <w:kern w:val="2"/>
          <w:sz w:val="44"/>
          <w:szCs w:val="44"/>
          <w:lang w:eastAsia="zh-CN"/>
        </w:rPr>
        <w:t>　　　　　　　　</w:t>
      </w:r>
      <w:r>
        <w:rPr>
          <w:rFonts w:hint="eastAsia" w:ascii="Times New Roman" w:hAnsi="Times New Roman" w:eastAsia="方正仿宋_GBK" w:cs="方正仿宋_GBK"/>
          <w:kern w:val="2"/>
          <w:sz w:val="32"/>
          <w:szCs w:val="32"/>
          <w:lang w:eastAsia="zh-CN"/>
        </w:rPr>
        <w:t>（征求意见稿）</w:t>
      </w:r>
    </w:p>
    <w:bookmarkEnd w:id="0"/>
    <w:p>
      <w:pPr>
        <w:pStyle w:val="6"/>
        <w:widowControl/>
        <w:rPr>
          <w:rFonts w:ascii="Times New Roman" w:hAnsi="Times New Roman" w:eastAsia="方正仿宋_GBK" w:cs="方正仿宋_GBK"/>
          <w:kern w:val="2"/>
          <w:sz w:val="32"/>
          <w:szCs w:val="32"/>
        </w:rPr>
      </w:pPr>
    </w:p>
    <w:p>
      <w:pPr>
        <w:pStyle w:val="6"/>
        <w:widowControl/>
        <w:rPr>
          <w:szCs w:val="32"/>
        </w:rPr>
      </w:pPr>
      <w:r>
        <w:rPr>
          <w:rFonts w:hint="eastAsia" w:ascii="Times New Roman" w:hAnsi="Times New Roman" w:eastAsia="方正仿宋_GBK" w:cs="方正仿宋_GBK"/>
          <w:kern w:val="2"/>
          <w:sz w:val="32"/>
          <w:szCs w:val="32"/>
        </w:rPr>
        <w:t>各区县（自治县）金融办（金融工作管理部门），两江新区现代服务业局，保税港区金融办，万盛经开区金融办，商业保理行业协会，各商业保理公司：</w:t>
      </w:r>
    </w:p>
    <w:p>
      <w:pPr>
        <w:topLinePunct/>
        <w:ind w:firstLine="640" w:firstLineChars="200"/>
        <w:rPr>
          <w:rFonts w:ascii="Times New Roman" w:hAnsi="Times New Roman" w:eastAsia="方正仿宋_GBK" w:cs="方正仿宋_GBK"/>
          <w:sz w:val="32"/>
          <w:szCs w:val="32"/>
        </w:rPr>
      </w:pPr>
      <w:r>
        <w:rPr>
          <w:rFonts w:hint="eastAsia" w:ascii="Times New Roman" w:hAnsi="Times New Roman" w:eastAsia="方正仿宋_GBK" w:cs="方正仿宋_GBK"/>
          <w:sz w:val="32"/>
          <w:szCs w:val="32"/>
        </w:rPr>
        <w:t>根据《中国银保监会办公厅关于加强商业保理企业监督管理的通知》（银保监发〔2019〕205号）等有关文件精神，为进一步规范商业保理行业监督管理工作，强化事前事中事后监管，规范经营行为，防范化解风险，促进行业持续健康发展，现就有关事项通知如下：</w:t>
      </w:r>
    </w:p>
    <w:p>
      <w:pPr>
        <w:topLinePunct/>
        <w:ind w:firstLine="640" w:firstLineChars="200"/>
        <w:rPr>
          <w:rFonts w:ascii="黑体" w:hAnsi="黑体" w:eastAsia="黑体" w:cs="黑体"/>
          <w:sz w:val="32"/>
          <w:szCs w:val="32"/>
        </w:rPr>
      </w:pPr>
      <w:r>
        <w:rPr>
          <w:rFonts w:hint="eastAsia" w:ascii="黑体" w:hAnsi="黑体" w:eastAsia="黑体" w:cs="黑体"/>
          <w:sz w:val="32"/>
          <w:szCs w:val="32"/>
        </w:rPr>
        <w:t>一、加强准入管理，完善监管措施　</w:t>
      </w:r>
    </w:p>
    <w:p>
      <w:pPr>
        <w:ind w:firstLine="640" w:firstLineChars="200"/>
        <w:rPr>
          <w:rFonts w:ascii="Times New Roman" w:hAnsi="Times New Roman" w:eastAsia="方正仿宋_GBK" w:cs="方正仿宋_GBK"/>
          <w:sz w:val="32"/>
          <w:szCs w:val="32"/>
        </w:rPr>
      </w:pPr>
      <w:r>
        <w:rPr>
          <w:rFonts w:hint="eastAsia" w:ascii="Times New Roman" w:hAnsi="Times New Roman" w:eastAsia="方正仿宋_GBK" w:cs="方正仿宋_GBK"/>
          <w:sz w:val="32"/>
          <w:szCs w:val="32"/>
        </w:rPr>
        <w:t>（一）市金融监管局作为商业保理公司的监管部门，履行对全市范围内商业保理公司监督管理职责，负责制订全市监管制度指引，进行工作部署并组织实施，审查全市商业保理公司的准入、变更及终止，开展现场检查、非现场监管及重大风险事件的防范与处置等工作。区县金融管理部门负责所在区县商业保理公司设立、变更及终止初核、日常监管、落实风险防范与处置属地责任等工作。</w:t>
      </w:r>
    </w:p>
    <w:p>
      <w:pPr>
        <w:topLinePunct/>
        <w:adjustRightInd w:val="0"/>
        <w:spacing w:line="600" w:lineRule="exact"/>
        <w:ind w:firstLine="640" w:firstLineChars="200"/>
        <w:rPr>
          <w:rFonts w:ascii="Times New Roman" w:hAnsi="Times New Roman" w:eastAsia="方正仿宋_GBK" w:cs="方正仿宋_GBK"/>
          <w:sz w:val="32"/>
          <w:szCs w:val="32"/>
        </w:rPr>
      </w:pPr>
      <w:r>
        <w:rPr>
          <w:rFonts w:hint="eastAsia" w:ascii="Times New Roman" w:hAnsi="Times New Roman" w:eastAsia="方正仿宋_GBK" w:cs="方正仿宋_GBK"/>
          <w:sz w:val="32"/>
          <w:szCs w:val="32"/>
        </w:rPr>
        <w:t>（二）严把市场准入关，协调市场监管部门严控商业保理公司登记注册，</w:t>
      </w:r>
      <w:r>
        <w:rPr>
          <w:rFonts w:hint="eastAsia" w:ascii="Times New Roman" w:hAnsi="Times New Roman" w:eastAsia="方正仿宋_GBK" w:cs="方正仿宋_GBK"/>
          <w:sz w:val="32"/>
          <w:szCs w:val="32"/>
          <w:lang w:eastAsia="zh-CN"/>
        </w:rPr>
        <w:t>严格控制商业保理公司变更注册地址，禁止跨市变更注册地址。</w:t>
      </w:r>
      <w:r>
        <w:rPr>
          <w:rFonts w:hint="eastAsia" w:ascii="Times New Roman" w:hAnsi="Times New Roman" w:eastAsia="方正仿宋_GBK" w:cs="方正仿宋_GBK"/>
          <w:sz w:val="32"/>
          <w:szCs w:val="32"/>
        </w:rPr>
        <w:t>严格审核商业保理公司股权变更申请</w:t>
      </w:r>
      <w:r>
        <w:rPr>
          <w:rFonts w:hint="eastAsia" w:ascii="Times New Roman" w:hAnsi="Times New Roman" w:eastAsia="方正仿宋_GBK" w:cs="方正仿宋_GBK"/>
          <w:sz w:val="32"/>
          <w:szCs w:val="32"/>
          <w:lang w:eastAsia="zh-CN"/>
        </w:rPr>
        <w:t>，由</w:t>
      </w:r>
      <w:r>
        <w:rPr>
          <w:rFonts w:hint="eastAsia" w:ascii="Times New Roman" w:hAnsi="Times New Roman" w:eastAsia="方正仿宋_GBK" w:cs="方正仿宋_GBK"/>
          <w:sz w:val="32"/>
          <w:szCs w:val="32"/>
        </w:rPr>
        <w:t>区县金融管理部门对新股东的背景实力、入股动机、入股资金来源等加强审查，严禁新股东以债务资金或委托资金等非自有资金入股商业保理公司</w:t>
      </w:r>
      <w:r>
        <w:rPr>
          <w:rFonts w:hint="eastAsia" w:ascii="Times New Roman" w:hAnsi="Times New Roman" w:eastAsia="方正仿宋_GBK" w:cs="方正仿宋_GBK"/>
          <w:sz w:val="32"/>
          <w:szCs w:val="32"/>
          <w:lang w:eastAsia="zh-CN"/>
        </w:rPr>
        <w:t>，并</w:t>
      </w:r>
      <w:r>
        <w:rPr>
          <w:rFonts w:hint="eastAsia" w:ascii="Times New Roman" w:hAnsi="Times New Roman" w:eastAsia="方正仿宋_GBK" w:cs="方正仿宋_GBK"/>
          <w:sz w:val="32"/>
          <w:szCs w:val="32"/>
        </w:rPr>
        <w:t>自受理之日起10日内提出初核意见并报市金融监管局，由市金融监管局进行审核后20日内作出审核意见。</w:t>
      </w:r>
    </w:p>
    <w:p>
      <w:pPr>
        <w:ind w:firstLine="640" w:firstLineChars="200"/>
        <w:rPr>
          <w:rFonts w:ascii="仿宋" w:hAnsi="仿宋" w:eastAsia="仿宋"/>
          <w:sz w:val="32"/>
          <w:szCs w:val="32"/>
        </w:rPr>
      </w:pPr>
      <w:r>
        <w:rPr>
          <w:rFonts w:hint="eastAsia" w:ascii="Times New Roman" w:hAnsi="Times New Roman" w:eastAsia="方正仿宋_GBK" w:cs="方正仿宋_GBK"/>
          <w:sz w:val="32"/>
          <w:szCs w:val="32"/>
        </w:rPr>
        <w:t>（三）</w:t>
      </w:r>
      <w:r>
        <w:rPr>
          <w:rFonts w:hint="eastAsia" w:ascii="仿宋" w:hAnsi="仿宋" w:eastAsia="仿宋"/>
          <w:sz w:val="32"/>
          <w:szCs w:val="32"/>
        </w:rPr>
        <w:t>设立商业保理公司应符合下列要求：</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1.有符合《中华人民共和国公司法》和</w:t>
      </w:r>
      <w:r>
        <w:rPr>
          <w:rFonts w:hint="eastAsia" w:ascii="Times New Roman" w:hAnsi="Times New Roman" w:eastAsia="方正仿宋_GBK"/>
          <w:sz w:val="32"/>
          <w:szCs w:val="32"/>
          <w:lang w:eastAsia="zh-CN"/>
        </w:rPr>
        <w:t>符合监管要求</w:t>
      </w:r>
      <w:r>
        <w:rPr>
          <w:rFonts w:ascii="Times New Roman" w:hAnsi="Times New Roman" w:eastAsia="方正仿宋_GBK"/>
          <w:sz w:val="32"/>
          <w:szCs w:val="32"/>
        </w:rPr>
        <w:t>的公司章程</w:t>
      </w:r>
      <w:r>
        <w:rPr>
          <w:rFonts w:hint="eastAsia" w:ascii="Times New Roman" w:hAnsi="Times New Roman" w:eastAsia="方正仿宋_GBK"/>
          <w:sz w:val="32"/>
          <w:szCs w:val="32"/>
        </w:rPr>
        <w:t>；</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2.有符合规定条件的</w:t>
      </w:r>
      <w:r>
        <w:rPr>
          <w:rFonts w:hint="eastAsia" w:ascii="Times New Roman" w:hAnsi="Times New Roman" w:eastAsia="方正仿宋_GBK"/>
          <w:sz w:val="32"/>
          <w:szCs w:val="32"/>
        </w:rPr>
        <w:t>出资</w:t>
      </w:r>
      <w:r>
        <w:rPr>
          <w:rFonts w:ascii="Times New Roman" w:hAnsi="Times New Roman" w:eastAsia="方正仿宋_GBK"/>
          <w:sz w:val="32"/>
          <w:szCs w:val="32"/>
        </w:rPr>
        <w:t>人</w:t>
      </w:r>
      <w:r>
        <w:rPr>
          <w:rFonts w:hint="eastAsia" w:ascii="Times New Roman" w:hAnsi="Times New Roman" w:eastAsia="方正仿宋_GBK"/>
          <w:sz w:val="32"/>
          <w:szCs w:val="32"/>
        </w:rPr>
        <w:t>；</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3.注册资本为</w:t>
      </w:r>
      <w:r>
        <w:rPr>
          <w:rFonts w:hint="eastAsia" w:ascii="Times New Roman" w:hAnsi="Times New Roman" w:eastAsia="方正仿宋_GBK"/>
          <w:sz w:val="32"/>
          <w:szCs w:val="32"/>
        </w:rPr>
        <w:t>一次性</w:t>
      </w:r>
      <w:r>
        <w:rPr>
          <w:rFonts w:ascii="Times New Roman" w:hAnsi="Times New Roman" w:eastAsia="方正仿宋_GBK"/>
          <w:sz w:val="32"/>
          <w:szCs w:val="32"/>
        </w:rPr>
        <w:t>实缴货币资金，最低限额为</w:t>
      </w:r>
      <w:r>
        <w:rPr>
          <w:rFonts w:hint="eastAsia" w:ascii="Times New Roman" w:hAnsi="Times New Roman" w:eastAsia="方正仿宋_GBK"/>
          <w:sz w:val="32"/>
          <w:szCs w:val="32"/>
        </w:rPr>
        <w:t>10000万</w:t>
      </w:r>
      <w:r>
        <w:rPr>
          <w:rFonts w:ascii="Times New Roman" w:hAnsi="Times New Roman" w:eastAsia="方正仿宋_GBK"/>
          <w:sz w:val="32"/>
          <w:szCs w:val="32"/>
        </w:rPr>
        <w:t>元人民币或等值的可自由兑换货币</w:t>
      </w:r>
      <w:r>
        <w:rPr>
          <w:rFonts w:hint="eastAsia" w:ascii="Times New Roman" w:hAnsi="Times New Roman" w:eastAsia="方正仿宋_GBK"/>
          <w:sz w:val="32"/>
          <w:szCs w:val="32"/>
        </w:rPr>
        <w:t>；</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4.有信誉良好</w:t>
      </w:r>
      <w:r>
        <w:rPr>
          <w:rFonts w:hint="eastAsia" w:ascii="Times New Roman" w:hAnsi="Times New Roman" w:eastAsia="方正仿宋_GBK"/>
          <w:sz w:val="32"/>
          <w:szCs w:val="32"/>
        </w:rPr>
        <w:t>、无重大管理过失和违法犯罪行为、熟悉商业保理业务相关的法律法规</w:t>
      </w:r>
      <w:r>
        <w:rPr>
          <w:rFonts w:ascii="Times New Roman" w:hAnsi="Times New Roman" w:eastAsia="方正仿宋_GBK"/>
          <w:sz w:val="32"/>
          <w:szCs w:val="32"/>
        </w:rPr>
        <w:t>的董事、监事、高级管理人员，拥有超过2名3年以上保理业务或金融机构运营管理经验的总经理、副总经理</w:t>
      </w:r>
      <w:r>
        <w:rPr>
          <w:rFonts w:hint="eastAsia" w:ascii="Times New Roman" w:hAnsi="Times New Roman" w:eastAsia="方正仿宋_GBK"/>
          <w:sz w:val="32"/>
          <w:szCs w:val="32"/>
        </w:rPr>
        <w:t>及财务、风控负责人</w:t>
      </w:r>
      <w:r>
        <w:rPr>
          <w:rFonts w:ascii="Times New Roman" w:hAnsi="Times New Roman" w:eastAsia="方正仿宋_GBK"/>
          <w:sz w:val="32"/>
          <w:szCs w:val="32"/>
        </w:rPr>
        <w:t>等高级管理人员，其中财务负责人</w:t>
      </w:r>
      <w:r>
        <w:rPr>
          <w:rFonts w:hint="eastAsia" w:ascii="Times New Roman" w:hAnsi="Times New Roman" w:eastAsia="方正仿宋_GBK"/>
          <w:sz w:val="32"/>
          <w:szCs w:val="32"/>
        </w:rPr>
        <w:t>应</w:t>
      </w:r>
      <w:r>
        <w:rPr>
          <w:rFonts w:ascii="Times New Roman" w:hAnsi="Times New Roman" w:eastAsia="方正仿宋_GBK"/>
          <w:sz w:val="32"/>
          <w:szCs w:val="32"/>
        </w:rPr>
        <w:t>具备相关的财务工作经历</w:t>
      </w:r>
      <w:r>
        <w:rPr>
          <w:rFonts w:hint="eastAsia" w:ascii="Times New Roman" w:hAnsi="Times New Roman" w:eastAsia="方正仿宋_GBK"/>
          <w:sz w:val="32"/>
          <w:szCs w:val="32"/>
        </w:rPr>
        <w:t>；</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5.有健全的公司治理、</w:t>
      </w:r>
      <w:r>
        <w:rPr>
          <w:rFonts w:hint="eastAsia" w:ascii="Times New Roman" w:hAnsi="Times New Roman" w:eastAsia="方正仿宋_GBK"/>
          <w:sz w:val="32"/>
          <w:szCs w:val="32"/>
        </w:rPr>
        <w:t>内部控制</w:t>
      </w:r>
      <w:r>
        <w:rPr>
          <w:rFonts w:ascii="Times New Roman" w:hAnsi="Times New Roman" w:eastAsia="方正仿宋_GBK"/>
          <w:sz w:val="32"/>
          <w:szCs w:val="32"/>
        </w:rPr>
        <w:t>和风险</w:t>
      </w:r>
      <w:r>
        <w:rPr>
          <w:rFonts w:hint="eastAsia" w:ascii="Times New Roman" w:hAnsi="Times New Roman" w:eastAsia="方正仿宋_GBK"/>
          <w:sz w:val="32"/>
          <w:szCs w:val="32"/>
        </w:rPr>
        <w:t>管理体系；</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6.</w:t>
      </w:r>
      <w:r>
        <w:rPr>
          <w:rFonts w:hint="eastAsia" w:ascii="Times New Roman" w:hAnsi="Times New Roman" w:eastAsia="方正仿宋_GBK"/>
          <w:sz w:val="32"/>
          <w:szCs w:val="32"/>
        </w:rPr>
        <w:t>在注册地</w:t>
      </w:r>
      <w:r>
        <w:rPr>
          <w:rFonts w:ascii="Times New Roman" w:hAnsi="Times New Roman" w:eastAsia="方正仿宋_GBK"/>
          <w:sz w:val="32"/>
          <w:szCs w:val="32"/>
        </w:rPr>
        <w:t>有与业务经营相适应的营业场所、安全防范措施和其他设施</w:t>
      </w:r>
      <w:r>
        <w:rPr>
          <w:rFonts w:hint="eastAsia" w:ascii="Times New Roman" w:hAnsi="Times New Roman" w:eastAsia="方正仿宋_GBK"/>
          <w:sz w:val="32"/>
          <w:szCs w:val="32"/>
        </w:rPr>
        <w:t>；</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7.</w:t>
      </w:r>
      <w:r>
        <w:rPr>
          <w:rFonts w:hint="eastAsia" w:ascii="Times New Roman" w:hAnsi="Times New Roman" w:eastAsia="方正仿宋_GBK"/>
          <w:sz w:val="32"/>
          <w:szCs w:val="32"/>
        </w:rPr>
        <w:t>相关法律法规</w:t>
      </w:r>
      <w:r>
        <w:rPr>
          <w:rFonts w:ascii="Times New Roman" w:hAnsi="Times New Roman" w:eastAsia="方正仿宋_GBK"/>
          <w:sz w:val="32"/>
          <w:szCs w:val="32"/>
        </w:rPr>
        <w:t>规定的其他条件。</w:t>
      </w:r>
    </w:p>
    <w:p>
      <w:pPr>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机构设立应提交的申请材料由相关工作指引明确。</w:t>
      </w:r>
    </w:p>
    <w:p>
      <w:pPr>
        <w:topLinePunct/>
        <w:adjustRightInd w:val="0"/>
        <w:spacing w:line="600" w:lineRule="exact"/>
        <w:ind w:firstLine="640" w:firstLineChars="200"/>
        <w:rPr>
          <w:rFonts w:ascii="Times New Roman" w:hAnsi="Times New Roman" w:eastAsia="方正仿宋_GBK" w:cs="方正仿宋_GBK"/>
          <w:sz w:val="32"/>
          <w:szCs w:val="32"/>
        </w:rPr>
      </w:pPr>
      <w:r>
        <w:rPr>
          <w:rFonts w:hint="eastAsia" w:ascii="仿宋" w:hAnsi="仿宋" w:eastAsia="仿宋"/>
          <w:sz w:val="32"/>
          <w:szCs w:val="32"/>
        </w:rPr>
        <w:t>（四）</w:t>
      </w:r>
      <w:r>
        <w:rPr>
          <w:rFonts w:hint="eastAsia"/>
          <w:kern w:val="0"/>
        </w:rPr>
        <w:t xml:space="preserve"> </w:t>
      </w:r>
      <w:r>
        <w:rPr>
          <w:rFonts w:ascii="Times New Roman" w:hAnsi="Times New Roman" w:eastAsia="方正仿宋_GBK" w:cs="方正仿宋_GBK"/>
          <w:sz w:val="32"/>
          <w:szCs w:val="32"/>
        </w:rPr>
        <w:t>商业保理公司有下列变更事项之一的，</w:t>
      </w:r>
      <w:r>
        <w:rPr>
          <w:rFonts w:hint="eastAsia" w:ascii="Times New Roman" w:hAnsi="Times New Roman" w:eastAsia="方正仿宋_GBK" w:cs="方正仿宋_GBK"/>
          <w:sz w:val="32"/>
          <w:szCs w:val="32"/>
        </w:rPr>
        <w:t>由</w:t>
      </w:r>
      <w:r>
        <w:rPr>
          <w:rFonts w:ascii="Times New Roman" w:hAnsi="Times New Roman" w:eastAsia="方正仿宋_GBK" w:cs="方正仿宋_GBK"/>
          <w:sz w:val="32"/>
          <w:szCs w:val="32"/>
        </w:rPr>
        <w:t>商业保理公司</w:t>
      </w:r>
      <w:r>
        <w:rPr>
          <w:rFonts w:hint="eastAsia" w:ascii="Times New Roman" w:hAnsi="Times New Roman" w:eastAsia="方正仿宋_GBK" w:cs="方正仿宋_GBK"/>
          <w:sz w:val="32"/>
          <w:szCs w:val="32"/>
        </w:rPr>
        <w:t>向区县金融管理部门报告拟变更情况并提交相关材料，区县金融管理部门自受理之日起10日内提出初核意见并报市金融监管局，由市金融监管局进行审核后10日内作出审核意见。</w:t>
      </w:r>
    </w:p>
    <w:p>
      <w:pPr>
        <w:ind w:firstLine="640" w:firstLineChars="200"/>
        <w:rPr>
          <w:rFonts w:ascii="Times New Roman" w:hAnsi="Times New Roman" w:eastAsia="方正仿宋_GBK" w:cs="方正仿宋_GBK"/>
          <w:sz w:val="32"/>
          <w:szCs w:val="32"/>
        </w:rPr>
      </w:pPr>
      <w:r>
        <w:rPr>
          <w:rFonts w:ascii="Times New Roman" w:hAnsi="Times New Roman" w:eastAsia="方正仿宋_GBK" w:cs="方正仿宋_GBK"/>
          <w:sz w:val="32"/>
          <w:szCs w:val="32"/>
        </w:rPr>
        <w:t>1.变更名称</w:t>
      </w:r>
      <w:r>
        <w:rPr>
          <w:rFonts w:hint="eastAsia" w:ascii="Times New Roman" w:hAnsi="Times New Roman" w:eastAsia="方正仿宋_GBK" w:cs="方正仿宋_GBK"/>
          <w:sz w:val="32"/>
          <w:szCs w:val="32"/>
        </w:rPr>
        <w:t>；</w:t>
      </w:r>
    </w:p>
    <w:p>
      <w:pPr>
        <w:ind w:firstLine="640" w:firstLineChars="200"/>
        <w:rPr>
          <w:rFonts w:ascii="Times New Roman" w:hAnsi="Times New Roman" w:eastAsia="方正仿宋_GBK" w:cs="方正仿宋_GBK"/>
          <w:sz w:val="32"/>
          <w:szCs w:val="32"/>
        </w:rPr>
      </w:pPr>
      <w:r>
        <w:rPr>
          <w:rFonts w:ascii="Times New Roman" w:hAnsi="Times New Roman" w:eastAsia="方正仿宋_GBK" w:cs="方正仿宋_GBK"/>
          <w:sz w:val="32"/>
          <w:szCs w:val="32"/>
        </w:rPr>
        <w:t>2.变更组织形式</w:t>
      </w:r>
      <w:r>
        <w:rPr>
          <w:rFonts w:hint="eastAsia" w:ascii="Times New Roman" w:hAnsi="Times New Roman" w:eastAsia="方正仿宋_GBK" w:cs="方正仿宋_GBK"/>
          <w:sz w:val="32"/>
          <w:szCs w:val="32"/>
        </w:rPr>
        <w:t>；</w:t>
      </w:r>
    </w:p>
    <w:p>
      <w:pPr>
        <w:ind w:firstLine="640" w:firstLineChars="200"/>
        <w:rPr>
          <w:rFonts w:ascii="Times New Roman" w:hAnsi="Times New Roman" w:eastAsia="方正仿宋_GBK" w:cs="方正仿宋_GBK"/>
          <w:sz w:val="32"/>
          <w:szCs w:val="32"/>
        </w:rPr>
      </w:pPr>
      <w:r>
        <w:rPr>
          <w:rFonts w:hint="eastAsia" w:ascii="Times New Roman" w:hAnsi="Times New Roman" w:eastAsia="方正仿宋_GBK" w:cs="方正仿宋_GBK"/>
          <w:sz w:val="32"/>
          <w:szCs w:val="32"/>
        </w:rPr>
        <w:t>3</w:t>
      </w:r>
      <w:r>
        <w:rPr>
          <w:rFonts w:ascii="Times New Roman" w:hAnsi="Times New Roman" w:eastAsia="方正仿宋_GBK" w:cs="方正仿宋_GBK"/>
          <w:sz w:val="32"/>
          <w:szCs w:val="32"/>
        </w:rPr>
        <w:t>.变更</w:t>
      </w:r>
      <w:r>
        <w:rPr>
          <w:rFonts w:hint="eastAsia" w:ascii="Times New Roman" w:hAnsi="Times New Roman" w:eastAsia="方正仿宋_GBK" w:cs="方正仿宋_GBK"/>
          <w:sz w:val="32"/>
          <w:szCs w:val="32"/>
        </w:rPr>
        <w:t>股东；</w:t>
      </w:r>
    </w:p>
    <w:p>
      <w:pPr>
        <w:ind w:firstLine="640" w:firstLineChars="200"/>
        <w:rPr>
          <w:rFonts w:ascii="Times New Roman" w:hAnsi="Times New Roman" w:eastAsia="方正仿宋_GBK" w:cs="方正仿宋_GBK"/>
          <w:sz w:val="32"/>
          <w:szCs w:val="32"/>
        </w:rPr>
      </w:pPr>
      <w:r>
        <w:rPr>
          <w:rFonts w:hint="eastAsia" w:ascii="Times New Roman" w:hAnsi="Times New Roman" w:eastAsia="方正仿宋_GBK" w:cs="方正仿宋_GBK"/>
          <w:sz w:val="32"/>
          <w:szCs w:val="32"/>
        </w:rPr>
        <w:t>4</w:t>
      </w:r>
      <w:r>
        <w:rPr>
          <w:rFonts w:ascii="Times New Roman" w:hAnsi="Times New Roman" w:eastAsia="方正仿宋_GBK" w:cs="方正仿宋_GBK"/>
          <w:sz w:val="32"/>
          <w:szCs w:val="32"/>
        </w:rPr>
        <w:t>.变更注册资本</w:t>
      </w:r>
      <w:r>
        <w:rPr>
          <w:rFonts w:hint="eastAsia" w:ascii="Times New Roman" w:hAnsi="Times New Roman" w:eastAsia="方正仿宋_GBK" w:cs="方正仿宋_GBK"/>
          <w:sz w:val="32"/>
          <w:szCs w:val="32"/>
        </w:rPr>
        <w:t>；</w:t>
      </w:r>
    </w:p>
    <w:p>
      <w:pPr>
        <w:ind w:firstLine="640" w:firstLineChars="200"/>
        <w:rPr>
          <w:rFonts w:ascii="Times New Roman" w:hAnsi="Times New Roman" w:eastAsia="方正仿宋_GBK" w:cs="方正仿宋_GBK"/>
          <w:sz w:val="32"/>
          <w:szCs w:val="32"/>
        </w:rPr>
      </w:pPr>
      <w:r>
        <w:rPr>
          <w:rFonts w:hint="eastAsia" w:ascii="Times New Roman" w:hAnsi="Times New Roman" w:eastAsia="方正仿宋_GBK" w:cs="方正仿宋_GBK"/>
          <w:sz w:val="32"/>
          <w:szCs w:val="32"/>
        </w:rPr>
        <w:t>5</w:t>
      </w:r>
      <w:r>
        <w:rPr>
          <w:rFonts w:ascii="Times New Roman" w:hAnsi="Times New Roman" w:eastAsia="方正仿宋_GBK" w:cs="方正仿宋_GBK"/>
          <w:sz w:val="32"/>
          <w:szCs w:val="32"/>
        </w:rPr>
        <w:t>.</w:t>
      </w:r>
      <w:r>
        <w:rPr>
          <w:rFonts w:hint="eastAsia" w:ascii="Times New Roman" w:hAnsi="Times New Roman" w:eastAsia="方正仿宋_GBK" w:cs="方正仿宋_GBK"/>
          <w:sz w:val="32"/>
          <w:szCs w:val="32"/>
        </w:rPr>
        <w:t>跨区县</w:t>
      </w:r>
      <w:r>
        <w:rPr>
          <w:rFonts w:ascii="Times New Roman" w:hAnsi="Times New Roman" w:eastAsia="方正仿宋_GBK" w:cs="方正仿宋_GBK"/>
          <w:sz w:val="32"/>
          <w:szCs w:val="32"/>
        </w:rPr>
        <w:t>变更住所</w:t>
      </w:r>
      <w:r>
        <w:rPr>
          <w:rFonts w:hint="eastAsia" w:ascii="Times New Roman" w:hAnsi="Times New Roman" w:eastAsia="方正仿宋_GBK" w:cs="方正仿宋_GBK"/>
          <w:sz w:val="32"/>
          <w:szCs w:val="32"/>
        </w:rPr>
        <w:t>；</w:t>
      </w:r>
    </w:p>
    <w:p>
      <w:pPr>
        <w:ind w:firstLine="640" w:firstLineChars="200"/>
        <w:rPr>
          <w:rFonts w:ascii="Times New Roman" w:hAnsi="Times New Roman" w:eastAsia="方正仿宋_GBK" w:cs="方正仿宋_GBK"/>
          <w:sz w:val="32"/>
          <w:szCs w:val="32"/>
        </w:rPr>
      </w:pPr>
      <w:r>
        <w:rPr>
          <w:rFonts w:hint="eastAsia" w:ascii="Times New Roman" w:hAnsi="Times New Roman" w:eastAsia="方正仿宋_GBK" w:cs="方正仿宋_GBK"/>
          <w:sz w:val="32"/>
          <w:szCs w:val="32"/>
        </w:rPr>
        <w:t>6</w:t>
      </w:r>
      <w:r>
        <w:rPr>
          <w:rFonts w:ascii="Times New Roman" w:hAnsi="Times New Roman" w:eastAsia="方正仿宋_GBK" w:cs="方正仿宋_GBK"/>
          <w:sz w:val="32"/>
          <w:szCs w:val="32"/>
        </w:rPr>
        <w:t>.变更董事</w:t>
      </w:r>
      <w:r>
        <w:rPr>
          <w:rFonts w:hint="eastAsia" w:ascii="Times New Roman" w:hAnsi="Times New Roman" w:eastAsia="方正仿宋_GBK" w:cs="方正仿宋_GBK"/>
          <w:sz w:val="32"/>
          <w:szCs w:val="32"/>
          <w:lang w:eastAsia="zh-CN"/>
        </w:rPr>
        <w:t>、监事</w:t>
      </w:r>
      <w:r>
        <w:rPr>
          <w:rFonts w:ascii="Times New Roman" w:hAnsi="Times New Roman" w:eastAsia="方正仿宋_GBK" w:cs="方正仿宋_GBK"/>
          <w:sz w:val="32"/>
          <w:szCs w:val="32"/>
        </w:rPr>
        <w:t>、高级管理人员</w:t>
      </w:r>
      <w:r>
        <w:rPr>
          <w:rFonts w:hint="eastAsia" w:ascii="Times New Roman" w:hAnsi="Times New Roman" w:eastAsia="方正仿宋_GBK" w:cs="方正仿宋_GBK"/>
          <w:sz w:val="32"/>
          <w:szCs w:val="32"/>
        </w:rPr>
        <w:t>；</w:t>
      </w:r>
    </w:p>
    <w:p>
      <w:pPr>
        <w:ind w:firstLine="640" w:firstLineChars="200"/>
        <w:rPr>
          <w:rFonts w:ascii="Times New Roman" w:hAnsi="Times New Roman" w:eastAsia="方正仿宋_GBK" w:cs="方正仿宋_GBK"/>
          <w:sz w:val="32"/>
          <w:szCs w:val="32"/>
        </w:rPr>
      </w:pPr>
      <w:r>
        <w:rPr>
          <w:rFonts w:hint="eastAsia" w:ascii="Times New Roman" w:hAnsi="Times New Roman" w:eastAsia="方正仿宋_GBK" w:cs="方正仿宋_GBK"/>
          <w:sz w:val="32"/>
          <w:szCs w:val="32"/>
        </w:rPr>
        <w:t>7</w:t>
      </w:r>
      <w:r>
        <w:rPr>
          <w:rFonts w:ascii="Times New Roman" w:hAnsi="Times New Roman" w:eastAsia="方正仿宋_GBK" w:cs="方正仿宋_GBK"/>
          <w:sz w:val="32"/>
          <w:szCs w:val="32"/>
        </w:rPr>
        <w:t>.合并或分立</w:t>
      </w:r>
      <w:r>
        <w:rPr>
          <w:rFonts w:hint="eastAsia" w:ascii="Times New Roman" w:hAnsi="Times New Roman" w:eastAsia="方正仿宋_GBK" w:cs="方正仿宋_GBK"/>
          <w:sz w:val="32"/>
          <w:szCs w:val="32"/>
        </w:rPr>
        <w:t>；</w:t>
      </w:r>
    </w:p>
    <w:p>
      <w:pPr>
        <w:ind w:firstLine="640" w:firstLineChars="200"/>
        <w:rPr>
          <w:rFonts w:ascii="Times New Roman" w:hAnsi="Times New Roman" w:eastAsia="方正仿宋_GBK" w:cs="方正仿宋_GBK"/>
          <w:sz w:val="32"/>
          <w:szCs w:val="32"/>
        </w:rPr>
      </w:pPr>
      <w:r>
        <w:rPr>
          <w:rFonts w:hint="eastAsia" w:ascii="Times New Roman" w:hAnsi="Times New Roman" w:eastAsia="方正仿宋_GBK" w:cs="方正仿宋_GBK"/>
          <w:sz w:val="32"/>
          <w:szCs w:val="32"/>
        </w:rPr>
        <w:t>8.</w:t>
      </w:r>
      <w:r>
        <w:rPr>
          <w:rFonts w:hint="eastAsia" w:ascii="Times New Roman" w:hAnsi="Times New Roman" w:eastAsia="方正仿宋_GBK"/>
          <w:sz w:val="32"/>
          <w:szCs w:val="32"/>
        </w:rPr>
        <w:t>相关法律法规</w:t>
      </w:r>
      <w:r>
        <w:rPr>
          <w:rFonts w:ascii="Times New Roman" w:hAnsi="Times New Roman" w:eastAsia="方正仿宋_GBK"/>
          <w:sz w:val="32"/>
          <w:szCs w:val="32"/>
        </w:rPr>
        <w:t>规定的</w:t>
      </w:r>
      <w:r>
        <w:rPr>
          <w:rFonts w:ascii="Times New Roman" w:hAnsi="Times New Roman" w:eastAsia="方正仿宋_GBK" w:cs="方正仿宋_GBK"/>
          <w:sz w:val="32"/>
          <w:szCs w:val="32"/>
        </w:rPr>
        <w:t>其他变更事项。</w:t>
      </w:r>
    </w:p>
    <w:p>
      <w:pPr>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因股权转让、增资扩股等变更行为，使得商业保理公司原控股股东和实际控制人发生变更的，按照新设机构要求提交变更材料。</w:t>
      </w:r>
    </w:p>
    <w:p>
      <w:pPr>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机构变更事项应提交的申请材料由相关工作指引明确。</w:t>
      </w:r>
    </w:p>
    <w:p>
      <w:pPr>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（五）商业保理公司有下列变更事项之一的，由商业保理公司自行</w:t>
      </w:r>
      <w:r>
        <w:rPr>
          <w:rFonts w:hint="eastAsia" w:ascii="Times New Roman" w:hAnsi="Times New Roman" w:eastAsia="方正仿宋_GBK"/>
          <w:sz w:val="32"/>
          <w:szCs w:val="32"/>
          <w:lang w:eastAsia="zh-CN"/>
        </w:rPr>
        <w:t>向市场监管部门申请</w:t>
      </w:r>
      <w:r>
        <w:rPr>
          <w:rFonts w:hint="eastAsia" w:ascii="Times New Roman" w:hAnsi="Times New Roman" w:eastAsia="方正仿宋_GBK"/>
          <w:sz w:val="32"/>
          <w:szCs w:val="32"/>
        </w:rPr>
        <w:t>办理</w:t>
      </w:r>
      <w:r>
        <w:rPr>
          <w:rFonts w:hint="eastAsia" w:ascii="Times New Roman" w:hAnsi="Times New Roman" w:eastAsia="方正仿宋_GBK"/>
          <w:sz w:val="32"/>
          <w:szCs w:val="32"/>
          <w:lang w:eastAsia="zh-CN"/>
        </w:rPr>
        <w:t>相关</w:t>
      </w:r>
      <w:r>
        <w:rPr>
          <w:rFonts w:hint="eastAsia" w:ascii="Times New Roman" w:hAnsi="Times New Roman" w:eastAsia="方正仿宋_GBK"/>
          <w:sz w:val="32"/>
          <w:szCs w:val="32"/>
        </w:rPr>
        <w:t>事项变更登记后5日内报区县金融管理部门备案，区县金融管理部门在收到后5日内向市金融监管局报送备案材料。</w:t>
      </w:r>
    </w:p>
    <w:p>
      <w:pPr>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1.持有股权未超过5%的股东转让股权且受让股权后持股仍未超过5%；</w:t>
      </w:r>
    </w:p>
    <w:p>
      <w:pPr>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2.变更股东名称（姓名）；</w:t>
      </w:r>
    </w:p>
    <w:p>
      <w:pPr>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3.在同一区县内变更住所。</w:t>
      </w:r>
    </w:p>
    <w:p>
      <w:pPr>
        <w:widowControl/>
        <w:spacing w:line="560" w:lineRule="exact"/>
        <w:ind w:firstLine="640" w:firstLineChars="200"/>
        <w:rPr>
          <w:rFonts w:ascii="仿宋" w:hAnsi="仿宋" w:eastAsia="仿宋"/>
          <w:sz w:val="32"/>
          <w:szCs w:val="32"/>
        </w:rPr>
      </w:pPr>
      <w:r>
        <w:rPr>
          <w:rFonts w:hint="eastAsia" w:ascii="Times New Roman" w:hAnsi="Times New Roman" w:eastAsia="方正仿宋_GBK" w:cs="方正仿宋_GBK"/>
          <w:sz w:val="32"/>
          <w:szCs w:val="32"/>
        </w:rPr>
        <w:t>（六）市金融监管局可以根据监管需要，采取窗口指导、提高信息资料报送频率、非现场监管</w:t>
      </w:r>
      <w:r>
        <w:rPr>
          <w:rFonts w:hint="eastAsia" w:ascii="仿宋" w:hAnsi="仿宋" w:eastAsia="仿宋"/>
          <w:sz w:val="32"/>
          <w:szCs w:val="32"/>
        </w:rPr>
        <w:t>、现场检查等日常监管措施，</w:t>
      </w:r>
      <w:r>
        <w:rPr>
          <w:rFonts w:hint="eastAsia" w:ascii="Times New Roman" w:hAnsi="Times New Roman" w:eastAsia="方正仿宋_GBK" w:cs="方正仿宋_GBK"/>
          <w:sz w:val="32"/>
          <w:szCs w:val="32"/>
        </w:rPr>
        <w:t>区县金融管理部门配合实施</w:t>
      </w:r>
      <w:r>
        <w:rPr>
          <w:rFonts w:hint="eastAsia" w:ascii="仿宋" w:hAnsi="仿宋" w:eastAsia="仿宋"/>
          <w:sz w:val="32"/>
          <w:szCs w:val="32"/>
        </w:rPr>
        <w:t>。对商业保理公司进行现场检查，可以采取查阅复制与检查事项相关的文件、资料、系统数据等方式，深入了解机构的运营状况，分析评价商业保理公司风险状况，实现对商业保理公司的有效监管，商业保理公司应予以配合，并按照检查要求要求提供有关文件、资料、系统数据。</w:t>
      </w:r>
    </w:p>
    <w:p>
      <w:pPr>
        <w:widowControl/>
        <w:spacing w:line="560" w:lineRule="exact"/>
        <w:ind w:firstLine="640" w:firstLineChars="200"/>
        <w:rPr>
          <w:rFonts w:ascii="仿宋_GB2312" w:eastAsia="仿宋_GB2312"/>
          <w:color w:val="0D0D0D"/>
          <w:sz w:val="32"/>
          <w:szCs w:val="32"/>
        </w:rPr>
      </w:pPr>
      <w:r>
        <w:rPr>
          <w:rFonts w:hint="eastAsia" w:ascii="Times New Roman" w:hAnsi="Times New Roman" w:eastAsia="方正仿宋_GBK" w:cs="方正仿宋_GBK"/>
          <w:sz w:val="32"/>
          <w:szCs w:val="32"/>
        </w:rPr>
        <w:t>（七）</w:t>
      </w:r>
      <w:r>
        <w:rPr>
          <w:rFonts w:hint="eastAsia" w:ascii="仿宋_GB2312" w:eastAsia="仿宋_GB2312"/>
          <w:color w:val="0D0D0D"/>
          <w:sz w:val="32"/>
          <w:szCs w:val="32"/>
        </w:rPr>
        <w:t>市金融监管局应当根据</w:t>
      </w:r>
      <w:r>
        <w:rPr>
          <w:rFonts w:hint="eastAsia" w:ascii="仿宋_GB2312" w:eastAsia="仿宋_GB2312"/>
          <w:color w:val="0D0D0D"/>
          <w:sz w:val="32"/>
          <w:szCs w:val="32"/>
          <w:lang w:eastAsia="zh-CN"/>
        </w:rPr>
        <w:t>商业保理</w:t>
      </w:r>
      <w:r>
        <w:rPr>
          <w:rFonts w:hint="eastAsia" w:ascii="仿宋_GB2312" w:eastAsia="仿宋_GB2312"/>
          <w:color w:val="0D0D0D"/>
          <w:sz w:val="32"/>
          <w:szCs w:val="32"/>
        </w:rPr>
        <w:t>公司的业务规模、主要服务对象、内部管理水平、风险状况、经营质效等，建立商业保理公司监管指标体系和监管评级体系，对商业保理公司进行监管评级，并根据评级结果采取相应监管措施，实施分类监管。</w:t>
      </w:r>
    </w:p>
    <w:p>
      <w:pPr>
        <w:rPr>
          <w:rFonts w:ascii="仿宋" w:hAnsi="仿宋" w:eastAsia="仿宋"/>
          <w:sz w:val="32"/>
          <w:szCs w:val="32"/>
        </w:rPr>
      </w:pPr>
      <w:r>
        <w:rPr>
          <w:rFonts w:hint="eastAsia" w:ascii="Times New Roman" w:hAnsi="Times New Roman" w:eastAsia="方正仿宋_GBK" w:cs="方正仿宋_GBK"/>
          <w:sz w:val="32"/>
          <w:szCs w:val="32"/>
        </w:rPr>
        <w:t>　　（八）市金融监管局对商业保理公司实施“名单制”管理，结合开展商业保理行业整顿规范的整改落实情况，分批分次将正常经营类机构纳入监管名单并向社会公开，同时，持续推动非正常经营和违法违规经营机构整改或市场出清。</w:t>
      </w:r>
    </w:p>
    <w:p>
      <w:pPr>
        <w:pStyle w:val="6"/>
        <w:widowControl/>
        <w:ind w:firstLine="640" w:firstLineChars="200"/>
        <w:rPr>
          <w:rFonts w:ascii="仿宋" w:hAnsi="仿宋" w:eastAsia="仿宋"/>
          <w:kern w:val="2"/>
          <w:sz w:val="32"/>
          <w:szCs w:val="32"/>
        </w:rPr>
      </w:pPr>
      <w:r>
        <w:rPr>
          <w:rFonts w:hint="eastAsia" w:ascii="Times New Roman" w:hAnsi="Times New Roman" w:eastAsia="方正仿宋_GBK" w:cs="方正仿宋_GBK"/>
          <w:kern w:val="2"/>
          <w:sz w:val="32"/>
          <w:szCs w:val="32"/>
        </w:rPr>
        <w:t>（九）商业保理公司违反相关法律法规、行业监管制度及本通知要求，出现重大风险或者实际处于失联、停业状态的，</w:t>
      </w:r>
      <w:r>
        <w:rPr>
          <w:rFonts w:hint="eastAsia" w:ascii="仿宋" w:hAnsi="仿宋" w:eastAsia="仿宋"/>
          <w:kern w:val="2"/>
          <w:sz w:val="32"/>
          <w:szCs w:val="32"/>
        </w:rPr>
        <w:t>市金融监管局可以采取以下方式</w:t>
      </w:r>
      <w:r>
        <w:rPr>
          <w:rFonts w:hint="eastAsia" w:ascii="仿宋" w:hAnsi="仿宋" w:eastAsia="仿宋"/>
          <w:kern w:val="2"/>
          <w:sz w:val="32"/>
          <w:szCs w:val="32"/>
          <w:lang w:eastAsia="zh-CN"/>
        </w:rPr>
        <w:t>或协调市场监管部门</w:t>
      </w:r>
      <w:r>
        <w:rPr>
          <w:rFonts w:hint="eastAsia" w:ascii="仿宋" w:hAnsi="仿宋" w:eastAsia="仿宋"/>
          <w:kern w:val="2"/>
          <w:sz w:val="32"/>
          <w:szCs w:val="32"/>
        </w:rPr>
        <w:t>依法进行处置，区县金融管理部门配合实施：</w:t>
      </w:r>
    </w:p>
    <w:p>
      <w:pPr>
        <w:pStyle w:val="6"/>
        <w:widowControl/>
        <w:ind w:firstLine="640" w:firstLineChars="200"/>
        <w:rPr>
          <w:rFonts w:ascii="Times New Roman" w:hAnsi="Times New Roman" w:eastAsia="方正仿宋_GBK" w:cs="方正仿宋_GBK"/>
          <w:kern w:val="2"/>
          <w:sz w:val="32"/>
          <w:szCs w:val="32"/>
        </w:rPr>
      </w:pPr>
      <w:r>
        <w:rPr>
          <w:rFonts w:hint="eastAsia" w:ascii="Times New Roman" w:hAnsi="Times New Roman" w:eastAsia="方正仿宋_GBK" w:cs="方正仿宋_GBK"/>
          <w:kern w:val="2"/>
          <w:sz w:val="32"/>
          <w:szCs w:val="32"/>
        </w:rPr>
        <w:t>1.风险提示、警示；</w:t>
      </w:r>
    </w:p>
    <w:p>
      <w:pPr>
        <w:pStyle w:val="6"/>
        <w:widowControl/>
        <w:ind w:firstLine="640" w:firstLineChars="200"/>
        <w:rPr>
          <w:rFonts w:ascii="Times New Roman" w:hAnsi="Times New Roman" w:eastAsia="方正仿宋_GBK" w:cs="方正仿宋_GBK"/>
          <w:kern w:val="2"/>
          <w:sz w:val="32"/>
          <w:szCs w:val="32"/>
        </w:rPr>
      </w:pPr>
      <w:r>
        <w:rPr>
          <w:rFonts w:hint="eastAsia" w:ascii="Times New Roman" w:hAnsi="Times New Roman" w:eastAsia="方正仿宋_GBK" w:cs="方正仿宋_GBK"/>
          <w:kern w:val="2"/>
          <w:sz w:val="32"/>
          <w:szCs w:val="32"/>
        </w:rPr>
        <w:t>2.监管约谈；</w:t>
      </w:r>
    </w:p>
    <w:p>
      <w:pPr>
        <w:pStyle w:val="6"/>
        <w:widowControl/>
        <w:ind w:firstLine="640" w:firstLineChars="200"/>
        <w:rPr>
          <w:rFonts w:ascii="Times New Roman" w:hAnsi="Times New Roman" w:eastAsia="方正仿宋_GBK" w:cs="方正仿宋_GBK"/>
          <w:kern w:val="2"/>
          <w:sz w:val="32"/>
          <w:szCs w:val="32"/>
        </w:rPr>
      </w:pPr>
      <w:r>
        <w:rPr>
          <w:rFonts w:hint="eastAsia" w:ascii="Times New Roman" w:hAnsi="Times New Roman" w:eastAsia="方正仿宋_GBK" w:cs="方正仿宋_GBK"/>
          <w:kern w:val="2"/>
          <w:sz w:val="32"/>
          <w:szCs w:val="32"/>
        </w:rPr>
        <w:t>3.责令改正；</w:t>
      </w:r>
    </w:p>
    <w:p>
      <w:pPr>
        <w:pStyle w:val="6"/>
        <w:widowControl/>
        <w:ind w:firstLine="640" w:firstLineChars="200"/>
        <w:rPr>
          <w:rFonts w:ascii="Times New Roman" w:hAnsi="Times New Roman" w:eastAsia="方正仿宋_GBK" w:cs="方正仿宋_GBK"/>
          <w:kern w:val="2"/>
          <w:sz w:val="32"/>
          <w:szCs w:val="32"/>
        </w:rPr>
      </w:pPr>
      <w:r>
        <w:rPr>
          <w:rFonts w:hint="eastAsia" w:ascii="Times New Roman" w:hAnsi="Times New Roman" w:eastAsia="方正仿宋_GBK" w:cs="方正仿宋_GBK"/>
          <w:kern w:val="2"/>
          <w:sz w:val="32"/>
          <w:szCs w:val="32"/>
        </w:rPr>
        <w:t>4.暂停业务；</w:t>
      </w:r>
    </w:p>
    <w:p>
      <w:pPr>
        <w:pStyle w:val="6"/>
        <w:widowControl/>
        <w:ind w:firstLine="640" w:firstLineChars="200"/>
        <w:rPr>
          <w:rFonts w:ascii="Times New Roman" w:hAnsi="Times New Roman" w:eastAsia="方正仿宋_GBK" w:cs="方正仿宋_GBK"/>
          <w:kern w:val="2"/>
          <w:sz w:val="32"/>
          <w:szCs w:val="32"/>
        </w:rPr>
      </w:pPr>
      <w:r>
        <w:rPr>
          <w:rFonts w:hint="eastAsia" w:ascii="Times New Roman" w:hAnsi="Times New Roman" w:eastAsia="方正仿宋_GBK" w:cs="方正仿宋_GBK"/>
          <w:kern w:val="2"/>
          <w:sz w:val="32"/>
          <w:szCs w:val="32"/>
        </w:rPr>
        <w:t xml:space="preserve">5.行业内部通报； </w:t>
      </w:r>
    </w:p>
    <w:p>
      <w:pPr>
        <w:pStyle w:val="6"/>
        <w:widowControl/>
        <w:ind w:firstLine="640" w:firstLineChars="200"/>
        <w:rPr>
          <w:rFonts w:ascii="Times New Roman" w:hAnsi="Times New Roman" w:eastAsia="方正仿宋_GBK" w:cs="方正仿宋_GBK"/>
          <w:kern w:val="2"/>
          <w:sz w:val="32"/>
          <w:szCs w:val="32"/>
        </w:rPr>
      </w:pPr>
      <w:r>
        <w:rPr>
          <w:rFonts w:hint="eastAsia" w:ascii="Times New Roman" w:hAnsi="Times New Roman" w:eastAsia="方正仿宋_GBK" w:cs="方正仿宋_GBK"/>
          <w:kern w:val="2"/>
          <w:sz w:val="32"/>
          <w:szCs w:val="32"/>
        </w:rPr>
        <w:t xml:space="preserve">6.列为重点监管对象，加强日常监管及现场检查频率； </w:t>
      </w:r>
    </w:p>
    <w:p>
      <w:pPr>
        <w:pStyle w:val="6"/>
        <w:widowControl/>
        <w:ind w:firstLine="640" w:firstLineChars="200"/>
        <w:rPr>
          <w:rFonts w:ascii="Times New Roman" w:hAnsi="Times New Roman" w:eastAsia="方正仿宋_GBK" w:cs="方正仿宋_GBK"/>
          <w:kern w:val="2"/>
          <w:sz w:val="32"/>
          <w:szCs w:val="32"/>
        </w:rPr>
      </w:pPr>
      <w:r>
        <w:rPr>
          <w:rFonts w:hint="eastAsia" w:ascii="Times New Roman" w:hAnsi="Times New Roman" w:eastAsia="方正仿宋_GBK" w:cs="方正仿宋_GBK"/>
          <w:kern w:val="2"/>
          <w:sz w:val="32"/>
          <w:szCs w:val="32"/>
        </w:rPr>
        <w:t xml:space="preserve">7.暂不受理办理重大事项变更等相关申请； </w:t>
      </w:r>
    </w:p>
    <w:p>
      <w:pPr>
        <w:pStyle w:val="6"/>
        <w:widowControl/>
        <w:ind w:firstLine="640" w:firstLineChars="200"/>
        <w:rPr>
          <w:rFonts w:ascii="Times New Roman" w:hAnsi="Times New Roman" w:eastAsia="方正仿宋_GBK" w:cs="方正仿宋_GBK"/>
          <w:kern w:val="2"/>
          <w:sz w:val="32"/>
          <w:szCs w:val="32"/>
        </w:rPr>
      </w:pPr>
      <w:r>
        <w:rPr>
          <w:rFonts w:hint="eastAsia" w:ascii="Times New Roman" w:hAnsi="Times New Roman" w:eastAsia="方正仿宋_GBK" w:cs="方正仿宋_GBK"/>
          <w:kern w:val="2"/>
          <w:sz w:val="32"/>
          <w:szCs w:val="32"/>
        </w:rPr>
        <w:t xml:space="preserve">8.将相关情况通报有关部门、行业自律组织开展联合惩戒； </w:t>
      </w:r>
    </w:p>
    <w:p>
      <w:pPr>
        <w:pStyle w:val="6"/>
        <w:widowControl/>
        <w:ind w:firstLine="640" w:firstLineChars="200"/>
        <w:rPr>
          <w:rFonts w:ascii="Times New Roman" w:hAnsi="Times New Roman" w:eastAsia="方正仿宋_GBK" w:cs="方正仿宋_GBK"/>
          <w:kern w:val="2"/>
          <w:sz w:val="32"/>
          <w:szCs w:val="32"/>
        </w:rPr>
      </w:pPr>
      <w:r>
        <w:rPr>
          <w:rFonts w:hint="eastAsia" w:ascii="Times New Roman" w:hAnsi="Times New Roman" w:eastAsia="方正仿宋_GBK" w:cs="方正仿宋_GBK"/>
          <w:kern w:val="2"/>
          <w:sz w:val="32"/>
          <w:szCs w:val="32"/>
        </w:rPr>
        <w:t xml:space="preserve">9.建议市场监管部门依法列入经营异常名录或严重违法失信企业名单管理； </w:t>
      </w:r>
    </w:p>
    <w:p>
      <w:pPr>
        <w:pStyle w:val="6"/>
        <w:widowControl/>
        <w:ind w:firstLine="640" w:firstLineChars="200"/>
        <w:rPr>
          <w:rFonts w:ascii="Times New Roman" w:hAnsi="Times New Roman" w:eastAsia="方正仿宋_GBK" w:cs="方正仿宋_GBK"/>
          <w:kern w:val="2"/>
          <w:sz w:val="32"/>
          <w:szCs w:val="32"/>
        </w:rPr>
      </w:pPr>
      <w:r>
        <w:rPr>
          <w:rFonts w:hint="eastAsia" w:ascii="Times New Roman" w:hAnsi="Times New Roman" w:eastAsia="方正仿宋_GBK" w:cs="方正仿宋_GBK"/>
          <w:kern w:val="2"/>
          <w:sz w:val="32"/>
          <w:szCs w:val="32"/>
        </w:rPr>
        <w:t xml:space="preserve">10.情节严重的，移送有关部门依法采取吊销营业执照等行政处罚措施；涉嫌犯罪的，依法移送司法机关依法追究刑事责任处理。 </w:t>
      </w:r>
    </w:p>
    <w:p>
      <w:pPr>
        <w:ind w:firstLine="640" w:firstLineChars="200"/>
        <w:rPr>
          <w:rFonts w:ascii="仿宋" w:hAnsi="仿宋" w:eastAsia="仿宋"/>
          <w:sz w:val="32"/>
          <w:szCs w:val="32"/>
        </w:rPr>
      </w:pPr>
      <w:r>
        <w:rPr>
          <w:rFonts w:hint="eastAsia" w:ascii="仿宋" w:hAnsi="仿宋" w:eastAsia="仿宋"/>
          <w:sz w:val="32"/>
          <w:szCs w:val="32"/>
        </w:rPr>
        <w:t>（十）建立市金融监管局及区县金融管理部门与市场监管、税务、公安等部门协同监管机制，实现“信息互通、监管互助、执法互认”，建立联合惩戒激励制度，对机构的监管评级、黑名单与市场监管部门的企业异常经营名录、吊销营业执照等举措联动。</w:t>
      </w:r>
      <w:r>
        <w:rPr>
          <w:rFonts w:hint="eastAsia" w:ascii="仿宋" w:hAnsi="仿宋" w:eastAsia="仿宋"/>
          <w:sz w:val="32"/>
          <w:szCs w:val="32"/>
          <w:lang w:eastAsia="zh-CN"/>
        </w:rPr>
        <w:t>加强对跨区域经营商业保理公司的监管，与分支机构所在地金融监管局协调配合，定期共享跨区域经营的商业保理公司分支机构名单和经营信息。</w:t>
      </w:r>
    </w:p>
    <w:p>
      <w:pPr>
        <w:ind w:firstLine="640" w:firstLineChars="200"/>
        <w:rPr>
          <w:rFonts w:ascii="黑体" w:hAnsi="黑体" w:eastAsia="黑体" w:cs="黑体"/>
          <w:sz w:val="32"/>
          <w:szCs w:val="32"/>
        </w:rPr>
      </w:pPr>
      <w:r>
        <w:rPr>
          <w:rFonts w:hint="eastAsia" w:ascii="黑体" w:hAnsi="黑体" w:eastAsia="黑体" w:cs="黑体"/>
          <w:sz w:val="32"/>
          <w:szCs w:val="32"/>
        </w:rPr>
        <w:t>二、规范经营行为，严守风险底线</w:t>
      </w:r>
    </w:p>
    <w:p>
      <w:pPr>
        <w:pStyle w:val="6"/>
        <w:widowControl/>
        <w:ind w:firstLine="640" w:firstLineChars="200"/>
        <w:rPr>
          <w:rFonts w:ascii="Times New Roman" w:hAnsi="Times New Roman" w:eastAsia="方正仿宋_GBK" w:cs="方正仿宋_GBK"/>
          <w:kern w:val="2"/>
          <w:sz w:val="32"/>
          <w:szCs w:val="32"/>
        </w:rPr>
      </w:pPr>
      <w:r>
        <w:rPr>
          <w:rFonts w:hint="eastAsia" w:ascii="Times New Roman" w:hAnsi="Times New Roman" w:eastAsia="方正仿宋_GBK" w:cs="方正仿宋_GBK"/>
          <w:kern w:val="2"/>
          <w:sz w:val="32"/>
          <w:szCs w:val="32"/>
        </w:rPr>
        <w:t xml:space="preserve">（十一）商业保理公司应立足自身业务定位，回归本源，专注主业，突出供应链产业链金融服务特色，围绕客户需求创新业务模式、优化业务流程，遵循平等自愿、诚实守信等原则，自觉保障金融消费者权益，切实发挥普惠金融作用，提升服务中小微企业及实体经济能力。 </w:t>
      </w:r>
    </w:p>
    <w:p>
      <w:pPr>
        <w:pStyle w:val="6"/>
        <w:widowControl/>
        <w:ind w:firstLine="640" w:firstLineChars="200"/>
        <w:rPr>
          <w:rFonts w:ascii="Times New Roman" w:hAnsi="Times New Roman" w:eastAsia="方正仿宋_GBK" w:cs="方正仿宋_GBK"/>
          <w:kern w:val="2"/>
          <w:sz w:val="32"/>
          <w:szCs w:val="32"/>
        </w:rPr>
      </w:pPr>
      <w:r>
        <w:rPr>
          <w:rFonts w:hint="eastAsia" w:ascii="Times New Roman" w:hAnsi="Times New Roman" w:eastAsia="方正仿宋_GBK" w:cs="方正仿宋_GBK"/>
          <w:kern w:val="2"/>
          <w:sz w:val="32"/>
          <w:szCs w:val="32"/>
        </w:rPr>
        <w:t xml:space="preserve">（十二）商业保理公司的业务范围应主要包括保理融资、销售分户（分类）账管理、应收账款催收、非商业性坏账担保，同时，还可经营客户资信调查与评估、与商业保理相关的咨询服务。商业保理公司应在取得相关经营许可并完成设立登记后6个月内营业，并保持持续经营；开业后无正当理由，不得自行停业连续6个月以上。 </w:t>
      </w:r>
    </w:p>
    <w:p>
      <w:pPr>
        <w:pStyle w:val="6"/>
        <w:widowControl/>
        <w:ind w:firstLine="640" w:firstLineChars="200"/>
        <w:rPr>
          <w:rFonts w:ascii="Times New Roman" w:hAnsi="Times New Roman" w:eastAsia="方正仿宋_GBK" w:cs="方正仿宋_GBK"/>
          <w:kern w:val="2"/>
          <w:sz w:val="32"/>
          <w:szCs w:val="32"/>
        </w:rPr>
      </w:pPr>
      <w:r>
        <w:rPr>
          <w:rFonts w:hint="eastAsia" w:ascii="Times New Roman" w:hAnsi="Times New Roman" w:eastAsia="方正仿宋_GBK" w:cs="方正仿宋_GBK"/>
          <w:kern w:val="2"/>
          <w:sz w:val="32"/>
          <w:szCs w:val="32"/>
        </w:rPr>
        <w:t xml:space="preserve">（十三）商业保理公司应建立科学高效的公司治理结构，建立健全股东会、董事会、监事会、高级管理层等“三会一层”的组织架构、议事规则和决策程序，确保相互独立和有效制衡，促进企业发展目标实现和加强风险防控，形成明晰的治理结构、科学的决策机制、合理的激励机制和有效的约束机制。 </w:t>
      </w:r>
    </w:p>
    <w:p>
      <w:pPr>
        <w:pStyle w:val="6"/>
        <w:widowControl/>
        <w:ind w:firstLine="640" w:firstLineChars="200"/>
        <w:rPr>
          <w:rFonts w:ascii="仿宋_GB2312" w:hAnsi="仿宋" w:eastAsia="仿宋_GB2312" w:cstheme="minorBidi"/>
          <w:sz w:val="32"/>
          <w:szCs w:val="32"/>
        </w:rPr>
      </w:pPr>
      <w:r>
        <w:rPr>
          <w:rFonts w:hint="eastAsia" w:ascii="Times New Roman" w:hAnsi="Times New Roman" w:eastAsia="方正仿宋_GBK" w:cs="方正仿宋_GBK"/>
          <w:kern w:val="2"/>
          <w:sz w:val="32"/>
          <w:szCs w:val="32"/>
        </w:rPr>
        <w:t>（十四）</w:t>
      </w:r>
      <w:r>
        <w:rPr>
          <w:rFonts w:hint="eastAsia" w:ascii="Times New Roman" w:hAnsi="Times New Roman" w:eastAsia="方正仿宋_GBK" w:cs="方正仿宋_GBK"/>
          <w:sz w:val="32"/>
          <w:szCs w:val="32"/>
        </w:rPr>
        <w:t>商业保理公司应建立健全有效的内部控制制度，范围涵盖与保理业务相适应的项目评审、业务流程和操作规范等，提高经营管理水平和风险防控能力，保障公司安全稳健运行，促进可持续发展。</w:t>
      </w:r>
    </w:p>
    <w:p>
      <w:pPr>
        <w:ind w:firstLine="640"/>
        <w:rPr>
          <w:rFonts w:ascii="仿宋_GB2312" w:hAnsi="仿宋" w:eastAsia="仿宋_GB2312" w:cstheme="minorBidi"/>
          <w:sz w:val="32"/>
          <w:szCs w:val="32"/>
        </w:rPr>
      </w:pPr>
      <w:r>
        <w:rPr>
          <w:rFonts w:hint="eastAsia" w:ascii="Times New Roman" w:hAnsi="Times New Roman" w:eastAsia="方正仿宋_GBK" w:cs="方正仿宋_GBK"/>
          <w:sz w:val="32"/>
          <w:szCs w:val="32"/>
        </w:rPr>
        <w:t>（十五）商业保理公司应执行国家统一的财务会计准则和制度，真实记录并全面反映业务活动、财务状况、经营成果和现金流量。建立业务台账，记载商业保理业务收支情况，编制财务会计报告。年度财务会计报告须经具有相应资质的会计师事务所审计。</w:t>
      </w:r>
    </w:p>
    <w:p>
      <w:pPr>
        <w:ind w:firstLine="640"/>
        <w:rPr>
          <w:rFonts w:ascii="Times New Roman" w:hAnsi="Times New Roman" w:eastAsia="方正仿宋_GBK" w:cs="方正仿宋_GBK"/>
          <w:sz w:val="32"/>
          <w:szCs w:val="32"/>
        </w:rPr>
      </w:pPr>
      <w:r>
        <w:rPr>
          <w:rFonts w:hint="eastAsia" w:ascii="仿宋_GB2312" w:hAnsi="仿宋" w:eastAsia="仿宋_GB2312" w:cstheme="minorBidi"/>
          <w:sz w:val="32"/>
          <w:szCs w:val="32"/>
        </w:rPr>
        <w:t>（十六）</w:t>
      </w:r>
      <w:r>
        <w:rPr>
          <w:rFonts w:hint="eastAsia" w:ascii="Times New Roman" w:hAnsi="Times New Roman" w:eastAsia="方正仿宋_GBK" w:cs="方正仿宋_GBK"/>
          <w:sz w:val="32"/>
          <w:szCs w:val="32"/>
        </w:rPr>
        <w:t>商业保理公司应建立完善的风险预警处置机制，对经营风险、信用风险、市场风险和操作风险等各类风险进行有效识别、分析评估和应对，健全完善对各类风险进行事前防范、事中控制、事后监督纠正的风险控制体系。</w:t>
      </w:r>
    </w:p>
    <w:p>
      <w:pPr>
        <w:rPr>
          <w:rFonts w:ascii="Times New Roman" w:hAnsi="Times New Roman" w:eastAsia="方正仿宋_GBK" w:cs="方正仿宋_GBK"/>
          <w:sz w:val="32"/>
          <w:szCs w:val="32"/>
        </w:rPr>
      </w:pPr>
      <w:r>
        <w:rPr>
          <w:rFonts w:hint="eastAsia" w:ascii="Times New Roman" w:hAnsi="Times New Roman" w:eastAsia="方正仿宋_GBK" w:cs="方正仿宋_GBK"/>
          <w:sz w:val="32"/>
          <w:szCs w:val="32"/>
        </w:rPr>
        <w:t xml:space="preserve"> 　（十七）商业保理公司应加强对重点客户的管理，审慎把控同一债务人及其关联企业的业务比例，有效防范和分散经营风险；应建立健全关联交易管理制度、规范关联交易行为，确保关联交易符合法律法规和行业监管制度要求。 </w:t>
      </w:r>
    </w:p>
    <w:p>
      <w:pPr>
        <w:ind w:firstLine="640"/>
        <w:rPr>
          <w:rFonts w:ascii="Times New Roman" w:hAnsi="Times New Roman" w:eastAsia="方正仿宋_GBK" w:cs="方正仿宋_GBK"/>
          <w:sz w:val="32"/>
          <w:szCs w:val="32"/>
        </w:rPr>
      </w:pPr>
      <w:r>
        <w:rPr>
          <w:rFonts w:hint="eastAsia" w:ascii="Times New Roman" w:hAnsi="Times New Roman" w:eastAsia="方正仿宋_GBK" w:cs="方正仿宋_GBK"/>
          <w:sz w:val="32"/>
          <w:szCs w:val="32"/>
        </w:rPr>
        <w:t xml:space="preserve">（十八）在开展业务过程中，除按有关规定办理权属（含相关附属权利）登记外，商业保理公司需及时在中国人民银行征信中心动产融资统一登记公示系统办理相关权属登记，将有关权属状态予以公示。 </w:t>
      </w:r>
    </w:p>
    <w:p>
      <w:pPr>
        <w:ind w:firstLine="640"/>
        <w:rPr>
          <w:rFonts w:ascii="仿宋_GB2312" w:hAnsi="仿宋" w:eastAsia="仿宋_GB2312" w:cstheme="minorBidi"/>
          <w:sz w:val="32"/>
          <w:szCs w:val="32"/>
        </w:rPr>
      </w:pPr>
      <w:r>
        <w:rPr>
          <w:rFonts w:hint="eastAsia" w:ascii="Times New Roman" w:hAnsi="Times New Roman" w:eastAsia="方正仿宋_GBK" w:cs="方正仿宋_GBK"/>
          <w:sz w:val="32"/>
          <w:szCs w:val="32"/>
        </w:rPr>
        <w:t>（十九）</w:t>
      </w:r>
      <w:r>
        <w:rPr>
          <w:rFonts w:hint="eastAsia" w:ascii="仿宋_GB2312" w:hAnsi="仿宋" w:eastAsia="仿宋_GB2312" w:cstheme="minorBidi"/>
          <w:sz w:val="32"/>
          <w:szCs w:val="32"/>
        </w:rPr>
        <w:t>商业保理公司应遵守以下监管要求：</w:t>
      </w:r>
    </w:p>
    <w:p>
      <w:pPr>
        <w:numPr>
          <w:ilvl w:val="0"/>
          <w:numId w:val="1"/>
        </w:numPr>
        <w:spacing w:line="560" w:lineRule="exact"/>
        <w:ind w:firstLine="640" w:firstLineChars="200"/>
        <w:rPr>
          <w:rFonts w:ascii="仿宋_GB2312" w:hAnsi="仿宋" w:eastAsia="仿宋_GB2312" w:cstheme="minorBidi"/>
          <w:sz w:val="32"/>
          <w:szCs w:val="32"/>
        </w:rPr>
      </w:pPr>
      <w:r>
        <w:rPr>
          <w:rFonts w:hint="eastAsia" w:ascii="仿宋_GB2312" w:hAnsi="仿宋" w:eastAsia="仿宋_GB2312" w:cstheme="minorBidi"/>
          <w:sz w:val="32"/>
          <w:szCs w:val="32"/>
        </w:rPr>
        <w:t>受让同一债务人的应收账款，不得超过风险资产总额的5</w:t>
      </w:r>
      <w:r>
        <w:rPr>
          <w:rFonts w:ascii="仿宋_GB2312" w:hAnsi="仿宋" w:eastAsia="仿宋_GB2312" w:cstheme="minorBidi"/>
          <w:sz w:val="32"/>
          <w:szCs w:val="32"/>
        </w:rPr>
        <w:t>0</w:t>
      </w:r>
      <w:r>
        <w:rPr>
          <w:rFonts w:hint="eastAsia" w:ascii="仿宋_GB2312" w:hAnsi="仿宋" w:eastAsia="仿宋_GB2312" w:cstheme="minorBidi"/>
          <w:sz w:val="32"/>
          <w:szCs w:val="32"/>
        </w:rPr>
        <w:t>%；</w:t>
      </w:r>
    </w:p>
    <w:p>
      <w:pPr>
        <w:numPr>
          <w:ilvl w:val="0"/>
          <w:numId w:val="1"/>
        </w:numPr>
        <w:spacing w:line="560" w:lineRule="exact"/>
        <w:ind w:firstLine="640" w:firstLineChars="200"/>
        <w:rPr>
          <w:rFonts w:ascii="仿宋_GB2312" w:hAnsi="仿宋" w:eastAsia="仿宋_GB2312" w:cstheme="minorBidi"/>
          <w:sz w:val="32"/>
          <w:szCs w:val="32"/>
        </w:rPr>
      </w:pPr>
      <w:r>
        <w:rPr>
          <w:rFonts w:hint="eastAsia" w:ascii="仿宋_GB2312" w:hAnsi="仿宋" w:eastAsia="仿宋_GB2312" w:cstheme="minorBidi"/>
          <w:sz w:val="32"/>
          <w:szCs w:val="32"/>
        </w:rPr>
        <w:t>受让以其关联企业为债务人的应收账款，不得超过风险资产总额的4</w:t>
      </w:r>
      <w:r>
        <w:rPr>
          <w:rFonts w:ascii="仿宋_GB2312" w:hAnsi="仿宋" w:eastAsia="仿宋_GB2312" w:cstheme="minorBidi"/>
          <w:sz w:val="32"/>
          <w:szCs w:val="32"/>
        </w:rPr>
        <w:t>0</w:t>
      </w:r>
      <w:r>
        <w:rPr>
          <w:rFonts w:hint="eastAsia" w:ascii="仿宋_GB2312" w:hAnsi="仿宋" w:eastAsia="仿宋_GB2312" w:cstheme="minorBidi"/>
          <w:sz w:val="32"/>
          <w:szCs w:val="32"/>
        </w:rPr>
        <w:t>%。</w:t>
      </w:r>
    </w:p>
    <w:p>
      <w:pPr>
        <w:numPr>
          <w:ilvl w:val="0"/>
          <w:numId w:val="1"/>
        </w:numPr>
        <w:spacing w:line="560" w:lineRule="exact"/>
        <w:ind w:firstLine="640" w:firstLineChars="200"/>
        <w:rPr>
          <w:rFonts w:ascii="仿宋_GB2312" w:hAnsi="仿宋" w:eastAsia="仿宋_GB2312" w:cstheme="minorBidi"/>
          <w:sz w:val="32"/>
          <w:szCs w:val="32"/>
        </w:rPr>
      </w:pPr>
      <w:r>
        <w:rPr>
          <w:rFonts w:hint="eastAsia" w:ascii="仿宋_GB2312" w:hAnsi="仿宋" w:eastAsia="仿宋_GB2312" w:cstheme="minorBidi"/>
          <w:sz w:val="32"/>
          <w:szCs w:val="32"/>
        </w:rPr>
        <w:t>将逾期9</w:t>
      </w:r>
      <w:r>
        <w:rPr>
          <w:rFonts w:ascii="仿宋_GB2312" w:hAnsi="仿宋" w:eastAsia="仿宋_GB2312" w:cstheme="minorBidi"/>
          <w:sz w:val="32"/>
          <w:szCs w:val="32"/>
        </w:rPr>
        <w:t>0</w:t>
      </w:r>
      <w:r>
        <w:rPr>
          <w:rFonts w:hint="eastAsia" w:ascii="仿宋_GB2312" w:hAnsi="仿宋" w:eastAsia="仿宋_GB2312" w:cstheme="minorBidi"/>
          <w:sz w:val="32"/>
          <w:szCs w:val="32"/>
        </w:rPr>
        <w:t>天未收回或未实现的保理融资款纳入不良资产管理；</w:t>
      </w:r>
    </w:p>
    <w:p>
      <w:pPr>
        <w:numPr>
          <w:ilvl w:val="0"/>
          <w:numId w:val="1"/>
        </w:numPr>
        <w:spacing w:line="560" w:lineRule="exact"/>
        <w:ind w:firstLine="640" w:firstLineChars="200"/>
        <w:rPr>
          <w:rFonts w:ascii="仿宋_GB2312" w:hAnsi="仿宋" w:eastAsia="仿宋_GB2312" w:cstheme="minorBidi"/>
          <w:sz w:val="32"/>
          <w:szCs w:val="32"/>
        </w:rPr>
      </w:pPr>
      <w:r>
        <w:rPr>
          <w:rFonts w:hint="eastAsia" w:ascii="仿宋_GB2312" w:hAnsi="仿宋" w:eastAsia="仿宋_GB2312" w:cstheme="minorBidi"/>
          <w:sz w:val="32"/>
          <w:szCs w:val="32"/>
        </w:rPr>
        <w:t>计提的风险准备金，不低于融资保理业务期末余额的1%；</w:t>
      </w:r>
    </w:p>
    <w:p>
      <w:pPr>
        <w:numPr>
          <w:ilvl w:val="0"/>
          <w:numId w:val="1"/>
        </w:numPr>
        <w:spacing w:line="560" w:lineRule="exact"/>
        <w:ind w:firstLine="640" w:firstLineChars="200"/>
        <w:rPr>
          <w:rFonts w:ascii="Times New Roman" w:hAnsi="Times New Roman" w:eastAsia="方正仿宋_GBK" w:cs="方正仿宋_GBK"/>
          <w:sz w:val="32"/>
          <w:szCs w:val="32"/>
        </w:rPr>
      </w:pPr>
      <w:r>
        <w:rPr>
          <w:rFonts w:hint="eastAsia" w:ascii="仿宋_GB2312" w:hAnsi="仿宋" w:eastAsia="仿宋_GB2312" w:cstheme="minorBidi"/>
          <w:sz w:val="32"/>
          <w:szCs w:val="32"/>
        </w:rPr>
        <w:t>风险资产不得超过净资产总额的10倍。</w:t>
      </w:r>
    </w:p>
    <w:p>
      <w:pPr>
        <w:spacing w:line="560" w:lineRule="exact"/>
        <w:rPr>
          <w:rFonts w:ascii="Times New Roman" w:hAnsi="Times New Roman" w:eastAsia="方正仿宋_GBK" w:cs="方正仿宋_GBK"/>
          <w:sz w:val="32"/>
          <w:szCs w:val="32"/>
        </w:rPr>
      </w:pPr>
      <w:r>
        <w:rPr>
          <w:rFonts w:hint="eastAsia" w:ascii="仿宋_GB2312" w:hAnsi="仿宋" w:eastAsia="仿宋_GB2312" w:cstheme="minorBidi"/>
          <w:sz w:val="32"/>
          <w:szCs w:val="32"/>
        </w:rPr>
        <w:t>　　</w:t>
      </w:r>
      <w:r>
        <w:rPr>
          <w:rFonts w:hint="eastAsia" w:ascii="Times New Roman" w:hAnsi="Times New Roman" w:eastAsia="方正仿宋_GBK" w:cs="方正仿宋_GBK"/>
          <w:sz w:val="32"/>
          <w:szCs w:val="32"/>
        </w:rPr>
        <w:t>（二十）商业保理公司应进一步增强依法合规经营意识，规范自身经营行为，严守风险底线，不得有以下行为或经营以下业务：</w:t>
      </w:r>
    </w:p>
    <w:p>
      <w:pPr>
        <w:spacing w:line="560" w:lineRule="exact"/>
        <w:ind w:firstLine="640" w:firstLineChars="200"/>
        <w:rPr>
          <w:rFonts w:ascii="仿宋_GB2312" w:hAnsi="仿宋" w:eastAsia="仿宋_GB2312" w:cstheme="minorBidi"/>
          <w:sz w:val="32"/>
          <w:szCs w:val="32"/>
        </w:rPr>
      </w:pPr>
      <w:r>
        <w:rPr>
          <w:rFonts w:hint="eastAsia" w:ascii="仿宋_GB2312" w:hAnsi="仿宋" w:eastAsia="仿宋_GB2312" w:cstheme="minorBidi"/>
          <w:sz w:val="32"/>
          <w:szCs w:val="32"/>
        </w:rPr>
        <w:t>1.吸收或变相吸收公众存款；</w:t>
      </w:r>
    </w:p>
    <w:p>
      <w:pPr>
        <w:spacing w:line="560" w:lineRule="exact"/>
        <w:ind w:firstLine="640" w:firstLineChars="200"/>
        <w:rPr>
          <w:rFonts w:ascii="仿宋_GB2312" w:hAnsi="仿宋" w:eastAsia="仿宋_GB2312" w:cstheme="minorBidi"/>
          <w:sz w:val="32"/>
          <w:szCs w:val="32"/>
        </w:rPr>
      </w:pPr>
      <w:r>
        <w:rPr>
          <w:rFonts w:hint="eastAsia" w:ascii="仿宋_GB2312" w:hAnsi="仿宋" w:eastAsia="仿宋_GB2312" w:cstheme="minorBidi"/>
          <w:sz w:val="32"/>
          <w:szCs w:val="32"/>
        </w:rPr>
        <w:t>2.通过网络借贷信息中介机构、地方各类交易场所、资产管理机构以及私募投资基金等机构融入资金；</w:t>
      </w:r>
    </w:p>
    <w:p>
      <w:pPr>
        <w:spacing w:line="560" w:lineRule="exact"/>
        <w:ind w:firstLine="640" w:firstLineChars="200"/>
        <w:rPr>
          <w:rFonts w:ascii="仿宋_GB2312" w:hAnsi="仿宋" w:eastAsia="仿宋_GB2312" w:cstheme="minorBidi"/>
          <w:sz w:val="32"/>
          <w:szCs w:val="32"/>
        </w:rPr>
      </w:pPr>
      <w:r>
        <w:rPr>
          <w:rFonts w:hint="eastAsia" w:ascii="仿宋_GB2312" w:hAnsi="仿宋" w:eastAsia="仿宋_GB2312" w:cstheme="minorBidi"/>
          <w:sz w:val="32"/>
          <w:szCs w:val="32"/>
        </w:rPr>
        <w:t>3.发放或受托发放贷款；</w:t>
      </w:r>
    </w:p>
    <w:p>
      <w:pPr>
        <w:spacing w:line="560" w:lineRule="exact"/>
        <w:ind w:firstLine="640" w:firstLineChars="200"/>
        <w:rPr>
          <w:rFonts w:ascii="仿宋_GB2312" w:hAnsi="仿宋" w:eastAsia="仿宋_GB2312" w:cstheme="minorBidi"/>
          <w:sz w:val="32"/>
          <w:szCs w:val="32"/>
        </w:rPr>
      </w:pPr>
      <w:r>
        <w:rPr>
          <w:rFonts w:hint="eastAsia" w:ascii="仿宋_GB2312" w:hAnsi="仿宋" w:eastAsia="仿宋_GB2312" w:cstheme="minorBidi"/>
          <w:sz w:val="32"/>
          <w:szCs w:val="32"/>
        </w:rPr>
        <w:t>4.与其他商业保理公司拆借或变相拆借资金；</w:t>
      </w:r>
    </w:p>
    <w:p>
      <w:pPr>
        <w:spacing w:line="560" w:lineRule="exact"/>
        <w:ind w:firstLine="640" w:firstLineChars="200"/>
        <w:rPr>
          <w:rFonts w:ascii="仿宋_GB2312" w:hAnsi="仿宋" w:eastAsia="仿宋_GB2312" w:cstheme="minorBidi"/>
          <w:sz w:val="32"/>
          <w:szCs w:val="32"/>
        </w:rPr>
      </w:pPr>
      <w:r>
        <w:rPr>
          <w:rFonts w:hint="eastAsia" w:ascii="仿宋_GB2312" w:hAnsi="仿宋" w:eastAsia="仿宋_GB2312" w:cstheme="minorBidi"/>
          <w:sz w:val="32"/>
          <w:szCs w:val="32"/>
        </w:rPr>
        <w:t>5.专门从事或受托开展与商业保理无关的催收业务、讨债业务；</w:t>
      </w:r>
    </w:p>
    <w:p>
      <w:pPr>
        <w:spacing w:line="560" w:lineRule="exact"/>
        <w:ind w:firstLine="640" w:firstLineChars="200"/>
        <w:rPr>
          <w:rFonts w:ascii="仿宋_GB2312" w:hAnsi="仿宋" w:eastAsia="仿宋_GB2312" w:cstheme="minorBidi"/>
          <w:sz w:val="32"/>
          <w:szCs w:val="32"/>
        </w:rPr>
      </w:pPr>
      <w:r>
        <w:rPr>
          <w:rFonts w:hint="eastAsia" w:ascii="仿宋_GB2312" w:hAnsi="仿宋" w:eastAsia="仿宋_GB2312" w:cstheme="minorBidi"/>
          <w:sz w:val="32"/>
          <w:szCs w:val="32"/>
        </w:rPr>
        <w:t>6.基于不合法基础交易合同、寄售合同、权属不清的应收账款、因票据或其他有价证券而产生的付款请求权等开展保理融资业务；</w:t>
      </w:r>
    </w:p>
    <w:p>
      <w:pPr>
        <w:pStyle w:val="6"/>
        <w:widowControl/>
        <w:ind w:firstLine="640" w:firstLineChars="200"/>
        <w:rPr>
          <w:rFonts w:ascii="Times New Roman" w:hAnsi="Times New Roman" w:eastAsia="方正仿宋_GBK" w:cs="方正仿宋_GBK"/>
          <w:kern w:val="2"/>
          <w:sz w:val="32"/>
          <w:szCs w:val="32"/>
        </w:rPr>
      </w:pPr>
      <w:r>
        <w:rPr>
          <w:rFonts w:hint="eastAsia" w:ascii="Times New Roman" w:hAnsi="Times New Roman" w:eastAsia="方正仿宋_GBK" w:cs="方正仿宋_GBK"/>
          <w:kern w:val="2"/>
          <w:sz w:val="32"/>
          <w:szCs w:val="32"/>
        </w:rPr>
        <w:t>7.实施“高利贷”、“套路贷”和暴力收贷；</w:t>
      </w:r>
    </w:p>
    <w:p>
      <w:pPr>
        <w:pStyle w:val="6"/>
        <w:widowControl/>
        <w:ind w:firstLine="640" w:firstLineChars="200"/>
        <w:rPr>
          <w:rFonts w:ascii="Times New Roman" w:hAnsi="Times New Roman" w:eastAsia="方正仿宋_GBK" w:cs="方正仿宋_GBK"/>
          <w:kern w:val="2"/>
          <w:sz w:val="32"/>
          <w:szCs w:val="32"/>
        </w:rPr>
      </w:pPr>
      <w:r>
        <w:rPr>
          <w:rFonts w:hint="eastAsia" w:ascii="Times New Roman" w:hAnsi="Times New Roman" w:eastAsia="方正仿宋_GBK" w:cs="方正仿宋_GBK"/>
          <w:kern w:val="2"/>
          <w:sz w:val="32"/>
          <w:szCs w:val="32"/>
        </w:rPr>
        <w:t>8.违规变更有关事项；</w:t>
      </w:r>
    </w:p>
    <w:p>
      <w:pPr>
        <w:topLinePunct/>
        <w:ind w:firstLine="640" w:firstLineChars="200"/>
        <w:rPr>
          <w:rFonts w:ascii="Times New Roman" w:hAnsi="Times New Roman" w:eastAsia="方正仿宋_GBK" w:cs="方正仿宋_GBK"/>
          <w:sz w:val="32"/>
          <w:szCs w:val="32"/>
        </w:rPr>
      </w:pPr>
      <w:r>
        <w:rPr>
          <w:rFonts w:hint="eastAsia" w:ascii="Times New Roman" w:hAnsi="Times New Roman" w:eastAsia="方正仿宋_GBK" w:cs="方正仿宋_GBK"/>
          <w:kern w:val="2"/>
          <w:sz w:val="32"/>
          <w:szCs w:val="32"/>
        </w:rPr>
        <w:t>9.</w:t>
      </w:r>
      <w:r>
        <w:rPr>
          <w:rFonts w:hint="eastAsia" w:ascii="Times New Roman" w:hAnsi="Times New Roman" w:eastAsia="方正仿宋_GBK" w:cs="方正仿宋_GBK"/>
          <w:sz w:val="32"/>
          <w:szCs w:val="32"/>
        </w:rPr>
        <w:t>提供虚假报表及资料；</w:t>
      </w:r>
    </w:p>
    <w:p>
      <w:pPr>
        <w:topLinePunct/>
        <w:ind w:firstLine="640" w:firstLineChars="200"/>
        <w:rPr>
          <w:rFonts w:ascii="Times New Roman" w:hAnsi="Times New Roman" w:eastAsia="方正仿宋_GBK" w:cs="方正仿宋_GBK"/>
          <w:sz w:val="32"/>
          <w:szCs w:val="32"/>
        </w:rPr>
      </w:pPr>
      <w:r>
        <w:rPr>
          <w:rFonts w:hint="eastAsia" w:ascii="Times New Roman" w:hAnsi="Times New Roman" w:eastAsia="方正仿宋_GBK" w:cs="方正仿宋_GBK"/>
          <w:sz w:val="32"/>
          <w:szCs w:val="32"/>
        </w:rPr>
        <w:t>10.国家规定不得从事的其他活动。</w:t>
      </w:r>
    </w:p>
    <w:p>
      <w:pPr>
        <w:rPr>
          <w:rFonts w:ascii="黑体" w:hAnsi="黑体" w:eastAsia="黑体" w:cs="黑体"/>
          <w:sz w:val="32"/>
          <w:szCs w:val="32"/>
        </w:rPr>
      </w:pPr>
      <w:r>
        <w:rPr>
          <w:rFonts w:hint="eastAsia" w:ascii="黑体" w:hAnsi="黑体" w:eastAsia="黑体" w:cs="黑体"/>
          <w:sz w:val="32"/>
          <w:szCs w:val="32"/>
        </w:rPr>
        <w:t>　　　三、加强信息报送，报告重大事项</w:t>
      </w:r>
    </w:p>
    <w:p>
      <w:pPr>
        <w:ind w:firstLine="640" w:firstLineChars="200"/>
        <w:rPr>
          <w:rFonts w:ascii="Times New Roman" w:hAnsi="Times New Roman" w:eastAsia="方正仿宋_GBK" w:cs="方正仿宋_GBK"/>
          <w:sz w:val="32"/>
          <w:szCs w:val="32"/>
        </w:rPr>
      </w:pPr>
      <w:r>
        <w:rPr>
          <w:rFonts w:hint="eastAsia" w:ascii="Times New Roman" w:hAnsi="Times New Roman" w:eastAsia="方正仿宋_GBK" w:cs="方正仿宋_GBK"/>
          <w:sz w:val="32"/>
          <w:szCs w:val="32"/>
        </w:rPr>
        <w:t>（二十一）商业保理公司应按照重庆市地方金融监督管理局（以下简称市金融监管局）的要求，认真做好日常信息报送工作，落实专人专责，于每月8日前向市金融监管局和区县金融管理部门报送上一个月商业保理公司主要数据月报表，于每年4月30日前报送上一年度经中介机构审计的年度财务报告及经营情况说明书。</w:t>
      </w:r>
    </w:p>
    <w:p>
      <w:pPr>
        <w:ind w:firstLine="640" w:firstLineChars="200"/>
        <w:rPr>
          <w:rFonts w:ascii="Times New Roman" w:hAnsi="Times New Roman" w:eastAsia="方正仿宋_GBK" w:cs="方正仿宋_GBK"/>
          <w:sz w:val="32"/>
          <w:szCs w:val="32"/>
        </w:rPr>
      </w:pPr>
      <w:r>
        <w:rPr>
          <w:rFonts w:hint="eastAsia" w:ascii="Times New Roman" w:hAnsi="Times New Roman" w:eastAsia="方正仿宋_GBK" w:cs="方正仿宋_GBK"/>
          <w:sz w:val="32"/>
          <w:szCs w:val="32"/>
        </w:rPr>
        <w:t>（二十二）商业保理公司应使用“商业保理信息管理系统”或市金融监管局要求的其他有关监管信息系统，定期登录系统，全面填报企业基本情况、业务经营信息等相关数据信息。商业保理公司应在有关变更（备案）登记手续办理完成后10日内，将相关信息录入系统</w:t>
      </w:r>
      <w:r>
        <w:rPr>
          <w:rFonts w:ascii="Times New Roman" w:hAnsi="Times New Roman" w:eastAsia="方正仿宋_GBK"/>
          <w:sz w:val="32"/>
          <w:szCs w:val="32"/>
        </w:rPr>
        <w:t>。</w:t>
      </w:r>
    </w:p>
    <w:p>
      <w:pPr>
        <w:ind w:firstLine="640" w:firstLineChars="200"/>
        <w:rPr>
          <w:rFonts w:ascii="Times New Roman" w:hAnsi="Times New Roman" w:eastAsia="方正仿宋_GBK" w:cs="方正仿宋_GBK"/>
          <w:sz w:val="32"/>
          <w:szCs w:val="32"/>
        </w:rPr>
      </w:pPr>
      <w:r>
        <w:rPr>
          <w:rFonts w:hint="eastAsia" w:ascii="Times New Roman" w:hAnsi="Times New Roman" w:eastAsia="方正仿宋_GBK" w:cs="方正仿宋_GBK"/>
          <w:sz w:val="32"/>
          <w:szCs w:val="32"/>
        </w:rPr>
        <w:t>（二十三）商业保理公司发生下列事项的，应于发生后10</w:t>
      </w:r>
    </w:p>
    <w:p>
      <w:pPr>
        <w:rPr>
          <w:rFonts w:ascii="黑体" w:hAnsi="黑体" w:eastAsia="黑体" w:cs="黑体"/>
          <w:sz w:val="32"/>
          <w:szCs w:val="32"/>
        </w:rPr>
      </w:pPr>
      <w:r>
        <w:rPr>
          <w:rFonts w:hint="eastAsia" w:ascii="Times New Roman" w:hAnsi="Times New Roman" w:eastAsia="方正仿宋_GBK" w:cs="方正仿宋_GBK"/>
          <w:sz w:val="32"/>
          <w:szCs w:val="32"/>
        </w:rPr>
        <w:t xml:space="preserve">日内向市金融监管局和区县金融管理部门报告，并登录“商业保理信息管理系统”完成重大事项报告：     </w:t>
      </w:r>
      <w:r>
        <w:rPr>
          <w:rFonts w:hint="eastAsia" w:ascii="仿宋_GB2312" w:hAnsi="仿宋" w:eastAsia="仿宋_GB2312" w:cstheme="minorBidi"/>
          <w:sz w:val="32"/>
          <w:szCs w:val="32"/>
        </w:rPr>
        <w:t xml:space="preserve"> </w:t>
      </w:r>
    </w:p>
    <w:p>
      <w:pPr>
        <w:ind w:firstLine="640" w:firstLineChars="200"/>
        <w:rPr>
          <w:rFonts w:ascii="Times New Roman" w:hAnsi="Times New Roman" w:eastAsia="方正仿宋_GBK" w:cs="方正仿宋_GBK"/>
          <w:sz w:val="32"/>
          <w:szCs w:val="32"/>
        </w:rPr>
      </w:pPr>
      <w:r>
        <w:rPr>
          <w:rFonts w:hint="eastAsia" w:ascii="Times New Roman" w:hAnsi="Times New Roman" w:eastAsia="方正仿宋_GBK" w:cs="方正仿宋_GBK"/>
          <w:sz w:val="32"/>
          <w:szCs w:val="32"/>
        </w:rPr>
        <w:t>1.单笔金额超过净资产5%的重大关联交易；</w:t>
      </w:r>
    </w:p>
    <w:p>
      <w:pPr>
        <w:ind w:firstLine="640" w:firstLineChars="200"/>
        <w:rPr>
          <w:rFonts w:ascii="Times New Roman" w:hAnsi="Times New Roman" w:eastAsia="方正仿宋_GBK" w:cs="方正仿宋_GBK"/>
          <w:sz w:val="32"/>
          <w:szCs w:val="32"/>
        </w:rPr>
      </w:pPr>
      <w:r>
        <w:rPr>
          <w:rFonts w:hint="eastAsia" w:ascii="Times New Roman" w:hAnsi="Times New Roman" w:eastAsia="方正仿宋_GBK" w:cs="方正仿宋_GBK"/>
          <w:sz w:val="32"/>
          <w:szCs w:val="32"/>
        </w:rPr>
        <w:t>2.单笔金额超过净资产10%的重大债务；</w:t>
      </w:r>
    </w:p>
    <w:p>
      <w:pPr>
        <w:ind w:firstLine="640" w:firstLineChars="200"/>
        <w:rPr>
          <w:rFonts w:ascii="Times New Roman" w:hAnsi="Times New Roman" w:eastAsia="方正仿宋_GBK" w:cs="方正仿宋_GBK"/>
          <w:sz w:val="32"/>
          <w:szCs w:val="32"/>
        </w:rPr>
      </w:pPr>
      <w:r>
        <w:rPr>
          <w:rFonts w:hint="eastAsia" w:ascii="Times New Roman" w:hAnsi="Times New Roman" w:eastAsia="方正仿宋_GBK" w:cs="方正仿宋_GBK"/>
          <w:sz w:val="32"/>
          <w:szCs w:val="32"/>
        </w:rPr>
        <w:t>3.单笔金额超过净资产20%的或有负债；</w:t>
      </w:r>
    </w:p>
    <w:p>
      <w:pPr>
        <w:ind w:firstLine="640" w:firstLineChars="200"/>
        <w:rPr>
          <w:rFonts w:ascii="Times New Roman" w:hAnsi="Times New Roman" w:eastAsia="方正仿宋_GBK" w:cs="方正仿宋_GBK"/>
          <w:sz w:val="32"/>
          <w:szCs w:val="32"/>
        </w:rPr>
      </w:pPr>
      <w:r>
        <w:rPr>
          <w:rFonts w:hint="eastAsia" w:ascii="Times New Roman" w:hAnsi="Times New Roman" w:eastAsia="方正仿宋_GBK" w:cs="方正仿宋_GBK"/>
          <w:sz w:val="32"/>
          <w:szCs w:val="32"/>
        </w:rPr>
        <w:t>4.超过净资产10%的重大损失或赔偿责任；</w:t>
      </w:r>
    </w:p>
    <w:p>
      <w:pPr>
        <w:ind w:firstLine="640" w:firstLineChars="200"/>
        <w:rPr>
          <w:rFonts w:ascii="Times New Roman" w:hAnsi="Times New Roman" w:eastAsia="方正仿宋_GBK" w:cs="方正仿宋_GBK"/>
          <w:sz w:val="32"/>
          <w:szCs w:val="32"/>
        </w:rPr>
      </w:pPr>
      <w:r>
        <w:rPr>
          <w:rFonts w:hint="eastAsia" w:ascii="Times New Roman" w:hAnsi="Times New Roman" w:eastAsia="方正仿宋_GBK" w:cs="方正仿宋_GBK"/>
          <w:sz w:val="32"/>
          <w:szCs w:val="32"/>
        </w:rPr>
        <w:t>5.重大待决诉讼、仲裁。</w:t>
      </w:r>
    </w:p>
    <w:p>
      <w:pPr>
        <w:ind w:firstLine="640" w:firstLineChars="200"/>
        <w:rPr>
          <w:rFonts w:ascii="Times New Roman" w:hAnsi="Times New Roman" w:eastAsia="方正仿宋_GBK" w:cs="方正仿宋_GBK"/>
          <w:sz w:val="32"/>
          <w:szCs w:val="32"/>
        </w:rPr>
      </w:pPr>
      <w:r>
        <w:rPr>
          <w:rFonts w:hint="eastAsia" w:ascii="Times New Roman" w:hAnsi="Times New Roman" w:eastAsia="方正仿宋_GBK" w:cs="方正仿宋_GBK"/>
          <w:sz w:val="32"/>
          <w:szCs w:val="32"/>
        </w:rPr>
        <w:t>（二十四）商业保理公司发生下列事项的，应于24小时内向区县金融管理部门报告，区县金融管理部门应在收到报告后24 小时内向市金融监管局报告：</w:t>
      </w:r>
    </w:p>
    <w:p>
      <w:pPr>
        <w:pStyle w:val="6"/>
        <w:widowControl/>
        <w:ind w:firstLine="640" w:firstLineChars="200"/>
        <w:rPr>
          <w:rFonts w:ascii="Times New Roman" w:hAnsi="Times New Roman" w:eastAsia="方正仿宋_GBK" w:cs="方正仿宋_GBK"/>
          <w:kern w:val="2"/>
          <w:sz w:val="32"/>
          <w:szCs w:val="32"/>
        </w:rPr>
      </w:pPr>
      <w:r>
        <w:rPr>
          <w:rFonts w:hint="eastAsia" w:ascii="Times New Roman" w:hAnsi="Times New Roman" w:eastAsia="方正仿宋_GBK" w:cs="方正仿宋_GBK"/>
          <w:kern w:val="2"/>
          <w:sz w:val="32"/>
          <w:szCs w:val="32"/>
        </w:rPr>
        <w:t>1.发生群体性事件或重大风险事件、重大负面舆情；</w:t>
      </w:r>
    </w:p>
    <w:p>
      <w:pPr>
        <w:pStyle w:val="6"/>
        <w:widowControl/>
        <w:ind w:firstLine="640" w:firstLineChars="200"/>
        <w:rPr>
          <w:rFonts w:ascii="Times New Roman" w:hAnsi="Times New Roman" w:eastAsia="方正仿宋_GBK" w:cs="方正仿宋_GBK"/>
          <w:kern w:val="2"/>
          <w:sz w:val="32"/>
          <w:szCs w:val="32"/>
        </w:rPr>
      </w:pPr>
      <w:r>
        <w:rPr>
          <w:rFonts w:hint="eastAsia" w:ascii="Times New Roman" w:hAnsi="Times New Roman" w:eastAsia="方正仿宋_GBK" w:cs="方正仿宋_GBK"/>
          <w:kern w:val="2"/>
          <w:sz w:val="32"/>
          <w:szCs w:val="32"/>
        </w:rPr>
        <w:t>2.主要资产被查封、冻结、扣押；</w:t>
      </w:r>
    </w:p>
    <w:p>
      <w:pPr>
        <w:pStyle w:val="6"/>
        <w:widowControl/>
        <w:ind w:firstLine="640" w:firstLineChars="200"/>
        <w:rPr>
          <w:rFonts w:ascii="Times New Roman" w:hAnsi="Times New Roman" w:eastAsia="方正仿宋_GBK" w:cs="方正仿宋_GBK"/>
          <w:kern w:val="2"/>
          <w:sz w:val="32"/>
          <w:szCs w:val="32"/>
        </w:rPr>
      </w:pPr>
      <w:r>
        <w:rPr>
          <w:rFonts w:hint="eastAsia" w:ascii="Times New Roman" w:hAnsi="Times New Roman" w:eastAsia="方正仿宋_GBK" w:cs="方正仿宋_GBK"/>
          <w:kern w:val="2"/>
          <w:sz w:val="32"/>
          <w:szCs w:val="32"/>
        </w:rPr>
        <w:t>3.企业或其法定代表人因涉嫌违法违规被行政机关、司法机关立案调查；</w:t>
      </w:r>
    </w:p>
    <w:p>
      <w:pPr>
        <w:pStyle w:val="6"/>
        <w:widowControl/>
        <w:ind w:firstLine="640" w:firstLineChars="200"/>
        <w:rPr>
          <w:rFonts w:ascii="Times New Roman" w:hAnsi="Times New Roman" w:eastAsia="方正仿宋_GBK" w:cs="方正仿宋_GBK"/>
          <w:kern w:val="2"/>
          <w:sz w:val="32"/>
          <w:szCs w:val="32"/>
        </w:rPr>
      </w:pPr>
      <w:r>
        <w:rPr>
          <w:rFonts w:hint="eastAsia" w:ascii="Times New Roman" w:hAnsi="Times New Roman" w:eastAsia="方正仿宋_GBK" w:cs="方正仿宋_GBK"/>
          <w:kern w:val="2"/>
          <w:sz w:val="32"/>
          <w:szCs w:val="32"/>
        </w:rPr>
        <w:t>4.企业或其主要法人股东依法解散、申请破产或者被责令关闭、吊销营业执照；</w:t>
      </w:r>
    </w:p>
    <w:p>
      <w:pPr>
        <w:pStyle w:val="6"/>
        <w:widowControl/>
        <w:ind w:firstLine="640" w:firstLineChars="200"/>
        <w:rPr>
          <w:rFonts w:ascii="Times New Roman" w:hAnsi="Times New Roman" w:eastAsia="方正仿宋_GBK" w:cs="方正仿宋_GBK"/>
          <w:kern w:val="2"/>
          <w:sz w:val="32"/>
          <w:szCs w:val="32"/>
        </w:rPr>
      </w:pPr>
      <w:r>
        <w:rPr>
          <w:rFonts w:hint="eastAsia" w:ascii="Times New Roman" w:hAnsi="Times New Roman" w:eastAsia="方正仿宋_GBK" w:cs="方正仿宋_GBK"/>
          <w:kern w:val="2"/>
          <w:sz w:val="32"/>
          <w:szCs w:val="32"/>
        </w:rPr>
        <w:t>5.其他对公司经营发展有重大影响的事项。</w:t>
      </w:r>
    </w:p>
    <w:p>
      <w:pPr>
        <w:ind w:firstLine="640" w:firstLineChars="200"/>
        <w:rPr>
          <w:rFonts w:ascii="Times New Roman" w:hAnsi="Times New Roman" w:eastAsia="方正仿宋_GBK" w:cs="方正仿宋_GBK"/>
          <w:sz w:val="32"/>
          <w:szCs w:val="32"/>
        </w:rPr>
      </w:pPr>
      <w:r>
        <w:rPr>
          <w:rFonts w:hint="eastAsia" w:ascii="Times New Roman" w:hAnsi="Times New Roman" w:eastAsia="方正仿宋_GBK" w:cs="方正仿宋_GBK"/>
          <w:sz w:val="32"/>
          <w:szCs w:val="32"/>
        </w:rPr>
        <w:t>商业保理公司应指定联络人，具体负责重大事项报告工作，</w:t>
      </w:r>
    </w:p>
    <w:p>
      <w:pPr>
        <w:pStyle w:val="6"/>
        <w:widowControl/>
        <w:rPr>
          <w:rFonts w:ascii="Times New Roman" w:hAnsi="Times New Roman" w:eastAsia="方正仿宋_GBK" w:cs="方正仿宋_GBK"/>
          <w:kern w:val="2"/>
          <w:sz w:val="32"/>
          <w:szCs w:val="32"/>
        </w:rPr>
      </w:pPr>
      <w:r>
        <w:rPr>
          <w:rFonts w:hint="eastAsia" w:ascii="Times New Roman" w:hAnsi="Times New Roman" w:eastAsia="方正仿宋_GBK" w:cs="方正仿宋_GBK"/>
          <w:kern w:val="2"/>
          <w:sz w:val="32"/>
          <w:szCs w:val="32"/>
        </w:rPr>
        <w:t>报告内容包括事项简要情况、可能产生的风险、已采取或拟采取的应急措施。</w:t>
      </w:r>
      <w:r>
        <w:rPr>
          <w:rFonts w:hint="eastAsia" w:ascii="Times New Roman" w:hAnsi="Times New Roman" w:eastAsia="方正仿宋_GBK" w:cs="方正仿宋_GBK"/>
          <w:sz w:val="32"/>
          <w:szCs w:val="32"/>
        </w:rPr>
        <w:t>商业保理公司应对信息报送及重大事项报告的及时性、准确性、完整性负责。</w:t>
      </w:r>
    </w:p>
    <w:p>
      <w:pPr>
        <w:pStyle w:val="6"/>
        <w:widowControl/>
        <w:ind w:firstLine="640" w:firstLineChars="200"/>
        <w:rPr>
          <w:rFonts w:ascii="黑体" w:hAnsi="黑体" w:eastAsia="黑体" w:cs="黑体"/>
          <w:kern w:val="2"/>
          <w:sz w:val="32"/>
          <w:szCs w:val="32"/>
        </w:rPr>
      </w:pPr>
      <w:r>
        <w:rPr>
          <w:rFonts w:hint="eastAsia" w:ascii="黑体" w:hAnsi="黑体" w:eastAsia="黑体" w:cs="黑体"/>
          <w:sz w:val="32"/>
          <w:szCs w:val="32"/>
        </w:rPr>
        <w:t>四</w:t>
      </w:r>
      <w:r>
        <w:rPr>
          <w:rFonts w:hint="eastAsia" w:ascii="黑体" w:hAnsi="黑体" w:eastAsia="黑体" w:cs="黑体"/>
          <w:kern w:val="2"/>
          <w:sz w:val="32"/>
          <w:szCs w:val="32"/>
        </w:rPr>
        <w:t xml:space="preserve">、强化行业自律，开展外部监督 </w:t>
      </w:r>
    </w:p>
    <w:p>
      <w:pPr>
        <w:ind w:firstLine="640" w:firstLineChars="200"/>
        <w:rPr>
          <w:rFonts w:ascii="仿宋" w:hAnsi="仿宋" w:eastAsia="仿宋"/>
          <w:sz w:val="32"/>
          <w:szCs w:val="32"/>
        </w:rPr>
      </w:pPr>
      <w:r>
        <w:rPr>
          <w:rFonts w:hint="eastAsia" w:ascii="仿宋" w:hAnsi="仿宋" w:eastAsia="仿宋"/>
          <w:sz w:val="32"/>
          <w:szCs w:val="32"/>
        </w:rPr>
        <w:t xml:space="preserve">（二十五）市商业保理行业协会应充分发挥“自律、维权、协调、服务”职能，制定完善行业自律公约，规范行业竞争，开展政策宣传、咨询服务和从业人员教育培训等工作，搭建行业内外部沟通交流平台，并协助监管部门开展行业统计调查、现场检查及非现场监管、监管评级等事中事后监管工作。 </w:t>
      </w:r>
    </w:p>
    <w:p>
      <w:pPr>
        <w:ind w:firstLine="640" w:firstLineChars="200"/>
        <w:rPr>
          <w:rFonts w:ascii="仿宋" w:hAnsi="仿宋" w:eastAsia="仿宋"/>
          <w:sz w:val="32"/>
          <w:szCs w:val="32"/>
        </w:rPr>
      </w:pPr>
      <w:r>
        <w:rPr>
          <w:rFonts w:hint="eastAsia" w:ascii="仿宋" w:hAnsi="仿宋" w:eastAsia="仿宋"/>
          <w:sz w:val="32"/>
          <w:szCs w:val="32"/>
        </w:rPr>
        <w:t xml:space="preserve">（二十六）市金融监管局可以引入会计师事务所、律师事务所、信用评级机构等第三方机构，发挥专业作用，通过委托其开展现场检查、审计审查、外部评级等方式，促进商业保理行业规范发展。 </w:t>
      </w:r>
    </w:p>
    <w:p>
      <w:pPr>
        <w:widowControl/>
        <w:spacing w:line="560" w:lineRule="exact"/>
        <w:ind w:firstLine="640" w:firstLineChars="200"/>
        <w:rPr>
          <w:rFonts w:ascii="仿宋" w:hAnsi="仿宋" w:eastAsia="仿宋"/>
          <w:sz w:val="32"/>
          <w:szCs w:val="32"/>
        </w:rPr>
      </w:pPr>
      <w:r>
        <w:rPr>
          <w:rFonts w:hint="eastAsia" w:ascii="仿宋" w:hAnsi="仿宋" w:eastAsia="仿宋"/>
          <w:sz w:val="32"/>
          <w:szCs w:val="32"/>
        </w:rPr>
        <w:t>本通知自发布之日起施行。银保监会对商业保理公司监督管理另有规定的，从其规定。</w:t>
      </w:r>
    </w:p>
    <w:p>
      <w:pPr>
        <w:ind w:firstLine="640" w:firstLineChars="200"/>
        <w:rPr>
          <w:rFonts w:ascii="仿宋" w:hAnsi="仿宋" w:eastAsia="仿宋"/>
          <w:sz w:val="32"/>
          <w:szCs w:val="32"/>
        </w:rPr>
      </w:pPr>
    </w:p>
    <w:p>
      <w:pPr>
        <w:ind w:firstLine="640" w:firstLineChars="200"/>
        <w:rPr>
          <w:rFonts w:ascii="仿宋" w:hAnsi="仿宋" w:eastAsia="仿宋"/>
          <w:sz w:val="32"/>
          <w:szCs w:val="32"/>
        </w:rPr>
      </w:pPr>
    </w:p>
    <w:p>
      <w:pPr>
        <w:wordWrap w:val="0"/>
        <w:jc w:val="right"/>
        <w:rPr>
          <w:rFonts w:ascii="仿宋" w:hAnsi="仿宋" w:eastAsia="仿宋"/>
          <w:sz w:val="32"/>
          <w:szCs w:val="32"/>
        </w:rPr>
      </w:pPr>
      <w:r>
        <w:rPr>
          <w:rFonts w:hint="eastAsia" w:ascii="仿宋" w:hAnsi="仿宋" w:eastAsia="仿宋"/>
          <w:sz w:val="32"/>
          <w:szCs w:val="32"/>
        </w:rPr>
        <w:t xml:space="preserve">重庆市地方金融监督管理局  </w:t>
      </w:r>
    </w:p>
    <w:p>
      <w:pPr>
        <w:wordWrap w:val="0"/>
        <w:jc w:val="right"/>
        <w:rPr>
          <w:rFonts w:ascii="仿宋" w:hAnsi="仿宋" w:eastAsia="仿宋"/>
          <w:sz w:val="32"/>
          <w:szCs w:val="32"/>
        </w:rPr>
      </w:pPr>
      <w:r>
        <w:rPr>
          <w:rFonts w:hint="eastAsia" w:ascii="仿宋" w:hAnsi="仿宋" w:eastAsia="仿宋"/>
          <w:sz w:val="32"/>
          <w:szCs w:val="32"/>
        </w:rPr>
        <w:t>2020年</w:t>
      </w:r>
      <w:r>
        <w:rPr>
          <w:rFonts w:hint="eastAsia" w:ascii="仿宋" w:hAnsi="仿宋" w:eastAsia="仿宋"/>
          <w:sz w:val="32"/>
          <w:szCs w:val="32"/>
          <w:lang w:eastAsia="zh-CN"/>
        </w:rPr>
        <w:t>　</w:t>
      </w:r>
      <w:r>
        <w:rPr>
          <w:rFonts w:hint="eastAsia" w:ascii="仿宋" w:hAnsi="仿宋" w:eastAsia="仿宋"/>
          <w:sz w:val="32"/>
          <w:szCs w:val="32"/>
        </w:rPr>
        <w:t xml:space="preserve">月　日      </w:t>
      </w:r>
    </w:p>
    <w:p>
      <w:pPr>
        <w:ind w:firstLine="640"/>
        <w:rPr>
          <w:rFonts w:ascii="Times New Roman" w:hAnsi="Times New Roman" w:eastAsia="方正仿宋_GBK" w:cs="方正仿宋_GBK"/>
          <w:sz w:val="32"/>
          <w:szCs w:val="32"/>
        </w:rPr>
      </w:pPr>
    </w:p>
    <w:sectPr>
      <w:footerReference r:id="rId3" w:type="default"/>
      <w:pgSz w:w="11906" w:h="16838"/>
      <w:pgMar w:top="2098" w:right="1531" w:bottom="1984"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方正仿宋_GBK">
    <w:panose1 w:val="02000000000000000000"/>
    <w:charset w:val="86"/>
    <w:family w:val="script"/>
    <w:pitch w:val="default"/>
    <w:sig w:usb0="00000001" w:usb1="08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Microsoft YaHei">
    <w:panose1 w:val="020B0503020204020204"/>
    <w:charset w:val="86"/>
    <w:family w:val="auto"/>
    <w:pitch w:val="default"/>
    <w:sig w:usb0="80000287" w:usb1="2ACF3C50" w:usb2="00000016" w:usb3="00000000" w:csb0="0004001F" w:csb1="00000000"/>
  </w:font>
  <w:font w:name="Tahoma">
    <w:altName w:val="DejaVu Sans"/>
    <w:panose1 w:val="00000000000000000000"/>
    <w:charset w:val="00"/>
    <w:family w:val="auto"/>
    <w:pitch w:val="default"/>
    <w:sig w:usb0="00000000" w:usb1="00000000" w:usb2="00000000" w:usb3="00000000" w:csb0="0000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24"/>
                            </w:rPr>
                          </w:pPr>
                          <w:r>
                            <w:rPr>
                              <w:rFonts w:hint="eastAsia"/>
                              <w:sz w:val="24"/>
                            </w:rPr>
                            <w:fldChar w:fldCharType="begin"/>
                          </w:r>
                          <w:r>
                            <w:rPr>
                              <w:rFonts w:hint="eastAsia"/>
                              <w:sz w:val="24"/>
                            </w:rPr>
                            <w:instrText xml:space="preserve"> PAGE  \* MERGEFORMAT </w:instrText>
                          </w:r>
                          <w:r>
                            <w:rPr>
                              <w:rFonts w:hint="eastAsia"/>
                              <w:sz w:val="24"/>
                            </w:rPr>
                            <w:fldChar w:fldCharType="separate"/>
                          </w:r>
                          <w:r>
                            <w:rPr>
                              <w:sz w:val="24"/>
                            </w:rPr>
                            <w:t>2</w:t>
                          </w:r>
                          <w:r>
                            <w:rPr>
                              <w:rFonts w:hint="eastAsia"/>
                              <w:sz w:val="2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FgAAAGRycy9QSwECFAAUAAAACACHTuJAs0lY&#10;7tAAAAAFAQAADwAAAAAAAAABACAAAAA4AAAAZHJzL2Rvd25yZXYueG1sUEsBAhQAFAAAAAgAh07i&#10;QHQVUF0UAgAAFQQAAA4AAAAAAAAAAQAgAAAANQEAAGRycy9lMm9Eb2MueG1sUEsFBgAAAAAGAAYA&#10;WQEAALsFAAAAAA==&#10;">
              <v:fill on="f" focussize="0,0"/>
              <v:stroke on="f" weight="0.5pt"/>
              <v:imagedata o:title=""/>
              <o:lock v:ext="edit" aspectratio="f"/>
              <v:textbox inset="0mm,0mm,0mm,0mm" style="mso-fit-shape-to-text:t;">
                <w:txbxContent>
                  <w:p>
                    <w:pPr>
                      <w:snapToGrid w:val="0"/>
                      <w:rPr>
                        <w:sz w:val="24"/>
                      </w:rPr>
                    </w:pPr>
                    <w:r>
                      <w:rPr>
                        <w:rFonts w:hint="eastAsia"/>
                        <w:sz w:val="24"/>
                      </w:rPr>
                      <w:fldChar w:fldCharType="begin"/>
                    </w:r>
                    <w:r>
                      <w:rPr>
                        <w:rFonts w:hint="eastAsia"/>
                        <w:sz w:val="24"/>
                      </w:rPr>
                      <w:instrText xml:space="preserve"> PAGE  \* MERGEFORMAT </w:instrText>
                    </w:r>
                    <w:r>
                      <w:rPr>
                        <w:rFonts w:hint="eastAsia"/>
                        <w:sz w:val="24"/>
                      </w:rPr>
                      <w:fldChar w:fldCharType="separate"/>
                    </w:r>
                    <w:r>
                      <w:rPr>
                        <w:sz w:val="24"/>
                      </w:rPr>
                      <w:t>2</w:t>
                    </w:r>
                    <w:r>
                      <w:rPr>
                        <w:rFonts w:hint="eastAsia"/>
                        <w:sz w:val="24"/>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A502E4"/>
    <w:multiLevelType w:val="singleLevel"/>
    <w:tmpl w:val="5EA502E4"/>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205657"/>
    <w:rsid w:val="00017202"/>
    <w:rsid w:val="000230B4"/>
    <w:rsid w:val="0003508A"/>
    <w:rsid w:val="000716F1"/>
    <w:rsid w:val="00092829"/>
    <w:rsid w:val="000D6C2B"/>
    <w:rsid w:val="001808E7"/>
    <w:rsid w:val="00192ACA"/>
    <w:rsid w:val="00200BE2"/>
    <w:rsid w:val="00223193"/>
    <w:rsid w:val="00232A69"/>
    <w:rsid w:val="00257025"/>
    <w:rsid w:val="00271379"/>
    <w:rsid w:val="00351B66"/>
    <w:rsid w:val="003535D5"/>
    <w:rsid w:val="0036727B"/>
    <w:rsid w:val="00383FB7"/>
    <w:rsid w:val="003F032D"/>
    <w:rsid w:val="00485D2D"/>
    <w:rsid w:val="00497036"/>
    <w:rsid w:val="004B64EC"/>
    <w:rsid w:val="00523493"/>
    <w:rsid w:val="00533A9A"/>
    <w:rsid w:val="00563C83"/>
    <w:rsid w:val="00596096"/>
    <w:rsid w:val="006070FE"/>
    <w:rsid w:val="006265E9"/>
    <w:rsid w:val="00646E52"/>
    <w:rsid w:val="0070653C"/>
    <w:rsid w:val="00790379"/>
    <w:rsid w:val="008623B0"/>
    <w:rsid w:val="0087182A"/>
    <w:rsid w:val="008A305F"/>
    <w:rsid w:val="008A6EFB"/>
    <w:rsid w:val="008B6FCD"/>
    <w:rsid w:val="009B72D5"/>
    <w:rsid w:val="009C7B7B"/>
    <w:rsid w:val="009D4532"/>
    <w:rsid w:val="009D5671"/>
    <w:rsid w:val="00A212AD"/>
    <w:rsid w:val="00B20097"/>
    <w:rsid w:val="00B40EC1"/>
    <w:rsid w:val="00BE7644"/>
    <w:rsid w:val="00C13AAC"/>
    <w:rsid w:val="00C54778"/>
    <w:rsid w:val="00C564C3"/>
    <w:rsid w:val="00C92EA8"/>
    <w:rsid w:val="00C93A84"/>
    <w:rsid w:val="00D460D2"/>
    <w:rsid w:val="00D908F8"/>
    <w:rsid w:val="00DA3603"/>
    <w:rsid w:val="00DC7649"/>
    <w:rsid w:val="00E1315F"/>
    <w:rsid w:val="00EC1804"/>
    <w:rsid w:val="00ED3400"/>
    <w:rsid w:val="00F44021"/>
    <w:rsid w:val="00FB6187"/>
    <w:rsid w:val="01496A24"/>
    <w:rsid w:val="02565410"/>
    <w:rsid w:val="0391566B"/>
    <w:rsid w:val="042E5C70"/>
    <w:rsid w:val="04565205"/>
    <w:rsid w:val="04A45309"/>
    <w:rsid w:val="04E66FB9"/>
    <w:rsid w:val="050B0404"/>
    <w:rsid w:val="05C912E6"/>
    <w:rsid w:val="06240C1D"/>
    <w:rsid w:val="07213847"/>
    <w:rsid w:val="08485A3A"/>
    <w:rsid w:val="08631F65"/>
    <w:rsid w:val="096E2147"/>
    <w:rsid w:val="099255BC"/>
    <w:rsid w:val="0E226190"/>
    <w:rsid w:val="104C5826"/>
    <w:rsid w:val="105716DF"/>
    <w:rsid w:val="11E57C96"/>
    <w:rsid w:val="12550CA0"/>
    <w:rsid w:val="12D845DD"/>
    <w:rsid w:val="13DE7A25"/>
    <w:rsid w:val="16414937"/>
    <w:rsid w:val="171E3C4F"/>
    <w:rsid w:val="17783A45"/>
    <w:rsid w:val="179D6A42"/>
    <w:rsid w:val="19F452CA"/>
    <w:rsid w:val="1AA2086F"/>
    <w:rsid w:val="1CBA4336"/>
    <w:rsid w:val="1D29173C"/>
    <w:rsid w:val="1DEF72A5"/>
    <w:rsid w:val="1E8D229C"/>
    <w:rsid w:val="1EE1027E"/>
    <w:rsid w:val="217536A5"/>
    <w:rsid w:val="21F0364A"/>
    <w:rsid w:val="228E12A8"/>
    <w:rsid w:val="25672E04"/>
    <w:rsid w:val="25D30D4C"/>
    <w:rsid w:val="25E22908"/>
    <w:rsid w:val="26A21030"/>
    <w:rsid w:val="27F875CB"/>
    <w:rsid w:val="29DB410B"/>
    <w:rsid w:val="2B343376"/>
    <w:rsid w:val="2EA020A6"/>
    <w:rsid w:val="2FDF594D"/>
    <w:rsid w:val="32795FF7"/>
    <w:rsid w:val="36934FC9"/>
    <w:rsid w:val="36FE0C28"/>
    <w:rsid w:val="372201F6"/>
    <w:rsid w:val="380A5B5C"/>
    <w:rsid w:val="382A291E"/>
    <w:rsid w:val="384C175F"/>
    <w:rsid w:val="390A291B"/>
    <w:rsid w:val="3C205657"/>
    <w:rsid w:val="3C78611B"/>
    <w:rsid w:val="3E070E56"/>
    <w:rsid w:val="3E440AD9"/>
    <w:rsid w:val="411A00D6"/>
    <w:rsid w:val="427D7397"/>
    <w:rsid w:val="43404448"/>
    <w:rsid w:val="4359119B"/>
    <w:rsid w:val="435B42DE"/>
    <w:rsid w:val="449B28DE"/>
    <w:rsid w:val="45706C0C"/>
    <w:rsid w:val="45A435DC"/>
    <w:rsid w:val="45B914FE"/>
    <w:rsid w:val="45E26255"/>
    <w:rsid w:val="46FA61B9"/>
    <w:rsid w:val="47D658C1"/>
    <w:rsid w:val="48A109B6"/>
    <w:rsid w:val="49206ED9"/>
    <w:rsid w:val="49730E98"/>
    <w:rsid w:val="4A0F772B"/>
    <w:rsid w:val="4AC17F02"/>
    <w:rsid w:val="4C194DAB"/>
    <w:rsid w:val="4C6D4E95"/>
    <w:rsid w:val="4C8F1360"/>
    <w:rsid w:val="4DF4784B"/>
    <w:rsid w:val="4F2A59BF"/>
    <w:rsid w:val="518E13AB"/>
    <w:rsid w:val="5222420B"/>
    <w:rsid w:val="53F97B56"/>
    <w:rsid w:val="54180A3F"/>
    <w:rsid w:val="542864F4"/>
    <w:rsid w:val="546F4950"/>
    <w:rsid w:val="54E35FDD"/>
    <w:rsid w:val="58622423"/>
    <w:rsid w:val="59920E29"/>
    <w:rsid w:val="5A031450"/>
    <w:rsid w:val="5A731077"/>
    <w:rsid w:val="5B874FDA"/>
    <w:rsid w:val="5C301C64"/>
    <w:rsid w:val="5CC936B6"/>
    <w:rsid w:val="5D4D5B45"/>
    <w:rsid w:val="5D8E4671"/>
    <w:rsid w:val="5E7F404C"/>
    <w:rsid w:val="5E852695"/>
    <w:rsid w:val="5F29208E"/>
    <w:rsid w:val="5FCD5607"/>
    <w:rsid w:val="607E3A2B"/>
    <w:rsid w:val="60EE51DA"/>
    <w:rsid w:val="633506A5"/>
    <w:rsid w:val="63C23FB8"/>
    <w:rsid w:val="65937702"/>
    <w:rsid w:val="66B9672B"/>
    <w:rsid w:val="6811784E"/>
    <w:rsid w:val="69722E1C"/>
    <w:rsid w:val="69FD537B"/>
    <w:rsid w:val="6B403BF9"/>
    <w:rsid w:val="6B846EDA"/>
    <w:rsid w:val="6DD52AE1"/>
    <w:rsid w:val="6E24205E"/>
    <w:rsid w:val="6E9F7222"/>
    <w:rsid w:val="6F0E3DE7"/>
    <w:rsid w:val="707333A8"/>
    <w:rsid w:val="709D7D6D"/>
    <w:rsid w:val="71471811"/>
    <w:rsid w:val="715F3B79"/>
    <w:rsid w:val="71E73FEE"/>
    <w:rsid w:val="723B73EE"/>
    <w:rsid w:val="724D4C80"/>
    <w:rsid w:val="755448DC"/>
    <w:rsid w:val="764453AE"/>
    <w:rsid w:val="77A97804"/>
    <w:rsid w:val="77AA72E4"/>
    <w:rsid w:val="79267B1B"/>
    <w:rsid w:val="793742F7"/>
    <w:rsid w:val="7A7B3457"/>
    <w:rsid w:val="7B157DF6"/>
    <w:rsid w:val="7B58518E"/>
    <w:rsid w:val="7B6BD10B"/>
    <w:rsid w:val="7BB41B07"/>
    <w:rsid w:val="7C6858C0"/>
    <w:rsid w:val="7CCF1238"/>
    <w:rsid w:val="7F7546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8">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link w:val="11"/>
    <w:qFormat/>
    <w:uiPriority w:val="0"/>
    <w:pPr>
      <w:tabs>
        <w:tab w:val="center" w:pos="4153"/>
        <w:tab w:val="right" w:pos="8306"/>
      </w:tabs>
      <w:snapToGrid w:val="0"/>
      <w:jc w:val="left"/>
    </w:pPr>
    <w:rPr>
      <w:sz w:val="18"/>
      <w:szCs w:val="18"/>
    </w:rPr>
  </w:style>
  <w:style w:type="paragraph" w:styleId="5">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jc w:val="left"/>
    </w:pPr>
    <w:rPr>
      <w:kern w:val="0"/>
      <w:sz w:val="24"/>
    </w:rPr>
  </w:style>
  <w:style w:type="character" w:styleId="9">
    <w:name w:val="Strong"/>
    <w:basedOn w:val="8"/>
    <w:qFormat/>
    <w:uiPriority w:val="0"/>
    <w:rPr>
      <w:b/>
    </w:rPr>
  </w:style>
  <w:style w:type="character" w:customStyle="1" w:styleId="10">
    <w:name w:val="页眉 Char"/>
    <w:basedOn w:val="8"/>
    <w:link w:val="5"/>
    <w:qFormat/>
    <w:uiPriority w:val="0"/>
    <w:rPr>
      <w:rFonts w:ascii="Calibri" w:hAnsi="Calibri" w:eastAsia="宋体" w:cs="Times New Roman"/>
      <w:kern w:val="2"/>
      <w:sz w:val="18"/>
      <w:szCs w:val="18"/>
    </w:rPr>
  </w:style>
  <w:style w:type="character" w:customStyle="1" w:styleId="11">
    <w:name w:val="页脚 Char"/>
    <w:basedOn w:val="8"/>
    <w:link w:val="4"/>
    <w:qFormat/>
    <w:uiPriority w:val="0"/>
    <w:rPr>
      <w:rFonts w:ascii="Calibri" w:hAnsi="Calibri" w:eastAsia="宋体" w:cs="Times New Roman"/>
      <w:kern w:val="2"/>
      <w:sz w:val="18"/>
      <w:szCs w:val="18"/>
    </w:rPr>
  </w:style>
  <w:style w:type="paragraph" w:customStyle="1" w:styleId="12">
    <w:name w:val="Default"/>
    <w:qFormat/>
    <w:uiPriority w:val="0"/>
    <w:pPr>
      <w:widowControl w:val="0"/>
      <w:autoSpaceDE w:val="0"/>
      <w:autoSpaceDN w:val="0"/>
      <w:adjustRightInd w:val="0"/>
    </w:pPr>
    <w:rPr>
      <w:rFonts w:ascii="方正仿宋_GBK" w:eastAsia="方正仿宋_GBK" w:cs="方正仿宋_GBK" w:hAnsiTheme="minorHAnsi"/>
      <w:color w:val="000000"/>
      <w:sz w:val="24"/>
      <w:szCs w:val="24"/>
      <w:lang w:val="en-US" w:eastAsia="zh-CN" w:bidi="ar-SA"/>
    </w:rPr>
  </w:style>
  <w:style w:type="paragraph" w:customStyle="1" w:styleId="13">
    <w:name w:val="列出段落1"/>
    <w:basedOn w:val="1"/>
    <w:unhideWhenUsed/>
    <w:qFormat/>
    <w:uiPriority w:val="99"/>
    <w:pPr>
      <w:ind w:firstLine="420" w:firstLineChars="200"/>
    </w:pPr>
  </w:style>
  <w:style w:type="character" w:customStyle="1" w:styleId="14">
    <w:name w:val="批注框文本 Char"/>
    <w:basedOn w:val="8"/>
    <w:link w:val="3"/>
    <w:qFormat/>
    <w:uiPriority w:val="0"/>
    <w:rPr>
      <w:rFonts w:ascii="Calibri" w:hAnsi="Calibri" w:eastAsia="宋体" w:cs="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Pages>
  <Words>695</Words>
  <Characters>3968</Characters>
  <Lines>33</Lines>
  <Paragraphs>9</Paragraphs>
  <TotalTime>0</TotalTime>
  <ScaleCrop>false</ScaleCrop>
  <LinksUpToDate>false</LinksUpToDate>
  <CharactersWithSpaces>4654</CharactersWithSpaces>
  <Application>WPS Office_11.8.2.10624_F1E327BC-269C-435d-A152-05C5408002CA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2019-12-14T17:58:00Z</dcterms:created>
  <dc:creator>方强</dc:creator>
  <cp:lastModifiedBy>guest</cp:lastModifiedBy>
  <cp:lastPrinted>2020-08-25T16:33:00Z</cp:lastPrinted>
  <dcterms:modified xsi:type="dcterms:W3CDTF">2026-08-20T18:20:32Z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2052-11.8.2.10624</vt:lpwstr>
  </property>
</Properties>
</file>