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84BBF">
      <w:pPr>
        <w:spacing w:line="360" w:lineRule="auto"/>
        <w:jc w:val="center"/>
        <w:rPr>
          <w:rFonts w:ascii="方正小标宋简体" w:hAnsi="宋体" w:eastAsia="方正小标宋简体"/>
          <w:bCs/>
          <w:sz w:val="44"/>
          <w:szCs w:val="44"/>
        </w:rPr>
      </w:pPr>
      <w:r>
        <w:rPr>
          <w:rFonts w:hint="eastAsia" w:ascii="方正小标宋_GBK" w:hAnsi="方正小标宋_GBK" w:eastAsia="方正小标宋_GBK" w:cs="方正小标宋_GBK"/>
          <w:kern w:val="0"/>
          <w:sz w:val="44"/>
          <w:szCs w:val="44"/>
        </w:rPr>
        <w:t>设立登记承诺函</w:t>
      </w:r>
    </w:p>
    <w:p w14:paraId="6F35119E">
      <w:pPr>
        <w:spacing w:line="480" w:lineRule="exact"/>
        <w:rPr>
          <w:b/>
          <w:sz w:val="28"/>
        </w:rPr>
      </w:pPr>
    </w:p>
    <w:p w14:paraId="6E7F355F">
      <w:pPr>
        <w:widowControl/>
        <w:tabs>
          <w:tab w:val="left" w:pos="7255"/>
        </w:tabs>
        <w:ind w:left="94" w:firstLine="640" w:firstLineChars="200"/>
        <w:jc w:val="left"/>
        <w:rPr>
          <w:rFonts w:hint="eastAsia" w:ascii="方正仿宋_GBK" w:hAnsi="方正仿宋_GBK" w:eastAsia="方正仿宋_GBK" w:cs="方正仿宋_GBK"/>
          <w:b w:val="0"/>
          <w:bCs w:val="0"/>
          <w:kern w:val="0"/>
          <w:sz w:val="32"/>
          <w:szCs w:val="32"/>
          <w:lang w:eastAsia="zh-CN"/>
        </w:rPr>
      </w:pPr>
      <w:r>
        <w:rPr>
          <w:rFonts w:hint="eastAsia" w:ascii="方正仿宋_GBK" w:hAnsi="方正仿宋_GBK" w:eastAsia="方正仿宋_GBK" w:cs="方正仿宋_GBK"/>
          <w:b w:val="0"/>
          <w:bCs w:val="0"/>
          <w:kern w:val="0"/>
          <w:sz w:val="32"/>
          <w:szCs w:val="32"/>
          <w:lang w:eastAsia="zh-CN"/>
        </w:rPr>
        <w:t>XX、XX系重庆XX私募股权投资基金管理有限公司（以下简称该企业）的投资者，现就该企业设立私募股权投资基金管理公司时的有关事宜承诺如下：</w:t>
      </w:r>
    </w:p>
    <w:p w14:paraId="40CBD5B8">
      <w:pPr>
        <w:widowControl/>
        <w:tabs>
          <w:tab w:val="left" w:pos="7255"/>
        </w:tabs>
        <w:ind w:left="94" w:firstLine="640" w:firstLineChars="200"/>
        <w:jc w:val="left"/>
        <w:rPr>
          <w:rFonts w:hint="eastAsia" w:ascii="方正仿宋_GBK" w:hAnsi="方正仿宋_GBK" w:eastAsia="方正仿宋_GBK" w:cs="方正仿宋_GBK"/>
          <w:b w:val="0"/>
          <w:bCs w:val="0"/>
          <w:kern w:val="0"/>
          <w:sz w:val="32"/>
          <w:szCs w:val="32"/>
          <w:lang w:eastAsia="zh-CN"/>
        </w:rPr>
      </w:pPr>
      <w:r>
        <w:rPr>
          <w:rFonts w:hint="eastAsia" w:ascii="方正仿宋_GBK" w:hAnsi="方正仿宋_GBK" w:eastAsia="方正仿宋_GBK" w:cs="方正仿宋_GBK"/>
          <w:b w:val="0"/>
          <w:bCs w:val="0"/>
          <w:kern w:val="0"/>
          <w:sz w:val="32"/>
          <w:szCs w:val="32"/>
          <w:lang w:eastAsia="zh-CN"/>
        </w:rPr>
        <w:t>一、企业以开展私募基金管理业务为目的而设立，自市场主体工商登记之日起12个月内完成私募基金管理人登记，如不能按时完成私募基金管理人登记，则主动注销或变更企业名称及经营范围。未完成私募基金管理人登记前，不开展私募基金管理业务。</w:t>
      </w:r>
    </w:p>
    <w:p w14:paraId="35E4D95B">
      <w:pPr>
        <w:widowControl/>
        <w:tabs>
          <w:tab w:val="left" w:pos="7255"/>
        </w:tabs>
        <w:ind w:left="94" w:firstLine="640" w:firstLineChars="200"/>
        <w:jc w:val="left"/>
        <w:rPr>
          <w:rFonts w:hint="eastAsia" w:ascii="方正仿宋_GBK" w:hAnsi="方正仿宋_GBK" w:eastAsia="方正仿宋_GBK" w:cs="方正仿宋_GBK"/>
          <w:b w:val="0"/>
          <w:bCs w:val="0"/>
          <w:kern w:val="0"/>
          <w:sz w:val="32"/>
          <w:szCs w:val="32"/>
          <w:lang w:eastAsia="zh-CN"/>
        </w:rPr>
      </w:pPr>
      <w:r>
        <w:rPr>
          <w:rFonts w:hint="eastAsia" w:ascii="方正仿宋_GBK" w:hAnsi="方正仿宋_GBK" w:eastAsia="方正仿宋_GBK" w:cs="方正仿宋_GBK"/>
          <w:b w:val="0"/>
          <w:bCs w:val="0"/>
          <w:kern w:val="0"/>
          <w:sz w:val="32"/>
          <w:szCs w:val="32"/>
          <w:lang w:eastAsia="zh-CN"/>
        </w:rPr>
        <w:t>二、企业设立后，将具备独立、稳定的营业场所，原则上不得使用酒店、共享空间等稳定性不足的场地作为营业场所；不得存在与其股东、关联方、实际控制人等混同办公的情形；营业场所系租赁所得的，租赁期原则上应当在1年以上。</w:t>
      </w:r>
    </w:p>
    <w:p w14:paraId="7743EEFB">
      <w:pPr>
        <w:widowControl/>
        <w:tabs>
          <w:tab w:val="left" w:pos="7255"/>
        </w:tabs>
        <w:ind w:left="94" w:firstLine="640" w:firstLineChars="200"/>
        <w:jc w:val="left"/>
        <w:rPr>
          <w:rFonts w:hint="eastAsia" w:ascii="方正仿宋_GBK" w:hAnsi="方正仿宋_GBK" w:eastAsia="方正仿宋_GBK" w:cs="方正仿宋_GBK"/>
          <w:b w:val="0"/>
          <w:bCs w:val="0"/>
          <w:kern w:val="0"/>
          <w:sz w:val="32"/>
          <w:szCs w:val="32"/>
          <w:lang w:eastAsia="zh-CN"/>
        </w:rPr>
      </w:pPr>
      <w:r>
        <w:rPr>
          <w:rFonts w:hint="eastAsia" w:ascii="方正仿宋_GBK" w:hAnsi="方正仿宋_GBK" w:eastAsia="方正仿宋_GBK" w:cs="方正仿宋_GBK"/>
          <w:b w:val="0"/>
          <w:bCs w:val="0"/>
          <w:kern w:val="0"/>
          <w:sz w:val="32"/>
          <w:szCs w:val="32"/>
          <w:lang w:eastAsia="zh-CN"/>
        </w:rPr>
        <w:t>三、企业按照《私募投资基金登记备案办法》相关要求，签订劳动合同并缴纳社保的正式员工，签订劳动合同或者劳务合同的外籍员工、退休返聘员工，和国企全职委派的高级管理人员等专职工作人员不少于五人。</w:t>
      </w:r>
    </w:p>
    <w:p w14:paraId="099C1567">
      <w:pPr>
        <w:widowControl/>
        <w:tabs>
          <w:tab w:val="left" w:pos="7255"/>
        </w:tabs>
        <w:ind w:left="94" w:firstLine="640" w:firstLineChars="200"/>
        <w:jc w:val="left"/>
        <w:rPr>
          <w:rFonts w:hint="eastAsia" w:ascii="方正仿宋_GBK" w:hAnsi="方正仿宋_GBK" w:eastAsia="方正仿宋_GBK" w:cs="方正仿宋_GBK"/>
          <w:b w:val="0"/>
          <w:bCs w:val="0"/>
          <w:kern w:val="0"/>
          <w:sz w:val="32"/>
          <w:szCs w:val="32"/>
          <w:lang w:eastAsia="zh-CN"/>
        </w:rPr>
      </w:pPr>
      <w:r>
        <w:rPr>
          <w:rFonts w:hint="eastAsia" w:ascii="方正仿宋_GBK" w:hAnsi="方正仿宋_GBK" w:eastAsia="方正仿宋_GBK" w:cs="方正仿宋_GBK"/>
          <w:b w:val="0"/>
          <w:bCs w:val="0"/>
          <w:kern w:val="0"/>
          <w:sz w:val="32"/>
          <w:szCs w:val="32"/>
          <w:lang w:eastAsia="zh-CN"/>
        </w:rPr>
        <w:t>四、企业设立后，建立科学合理、运转有效的合规管理和风险控制制度，包括运营风险控制制度、信息披露制度、机构内部交易记录制度、关联交易管理制度、防范内幕交易及利益输送等制度、私募基金宣传推介及募集相关规范制度等。</w:t>
      </w:r>
    </w:p>
    <w:p w14:paraId="3DBD5E69">
      <w:pPr>
        <w:widowControl/>
        <w:tabs>
          <w:tab w:val="left" w:pos="7255"/>
        </w:tabs>
        <w:ind w:left="94" w:firstLine="640" w:firstLineChars="200"/>
        <w:jc w:val="left"/>
        <w:rPr>
          <w:rFonts w:hint="eastAsia" w:ascii="方正仿宋_GBK" w:hAnsi="方正仿宋_GBK" w:eastAsia="方正仿宋_GBK" w:cs="方正仿宋_GBK"/>
          <w:b w:val="0"/>
          <w:bCs w:val="0"/>
          <w:kern w:val="0"/>
          <w:sz w:val="32"/>
          <w:szCs w:val="32"/>
          <w:lang w:eastAsia="zh-CN"/>
        </w:rPr>
      </w:pPr>
      <w:r>
        <w:rPr>
          <w:rFonts w:hint="eastAsia" w:ascii="方正仿宋_GBK" w:hAnsi="方正仿宋_GBK" w:eastAsia="方正仿宋_GBK" w:cs="方正仿宋_GBK"/>
          <w:b w:val="0"/>
          <w:bCs w:val="0"/>
          <w:kern w:val="0"/>
          <w:sz w:val="32"/>
          <w:szCs w:val="32"/>
          <w:lang w:eastAsia="zh-CN"/>
        </w:rPr>
        <w:t>五、本次设立登记提供的所有材料真实、准确、完整，不存在任何虚假记载、误导性陈述或重大遗漏等。</w:t>
      </w:r>
    </w:p>
    <w:p w14:paraId="0A93CD25">
      <w:pPr>
        <w:widowControl/>
        <w:tabs>
          <w:tab w:val="left" w:pos="7255"/>
        </w:tabs>
        <w:ind w:left="94" w:firstLine="640" w:firstLineChars="200"/>
        <w:jc w:val="left"/>
        <w:rPr>
          <w:rFonts w:hint="eastAsia" w:ascii="方正仿宋_GBK" w:hAnsi="方正仿宋_GBK" w:eastAsia="方正仿宋_GBK" w:cs="方正仿宋_GBK"/>
          <w:b w:val="0"/>
          <w:bCs w:val="0"/>
          <w:kern w:val="0"/>
          <w:sz w:val="32"/>
          <w:szCs w:val="32"/>
          <w:lang w:eastAsia="zh-CN"/>
        </w:rPr>
      </w:pPr>
    </w:p>
    <w:p w14:paraId="2A153E7B">
      <w:pPr>
        <w:widowControl/>
        <w:tabs>
          <w:tab w:val="left" w:pos="7255"/>
        </w:tabs>
        <w:ind w:left="94" w:firstLine="640" w:firstLineChars="200"/>
        <w:jc w:val="left"/>
        <w:rPr>
          <w:rFonts w:hint="eastAsia" w:ascii="仿宋_GB2312" w:hAnsi="仿宋_GB2312" w:eastAsia="仿宋_GB2312" w:cs="仿宋_GB2312"/>
          <w:sz w:val="32"/>
          <w:szCs w:val="32"/>
        </w:rPr>
      </w:pPr>
      <w:r>
        <w:rPr>
          <w:rFonts w:hint="eastAsia" w:ascii="方正仿宋_GBK" w:hAnsi="方正仿宋_GBK" w:eastAsia="方正仿宋_GBK" w:cs="方正仿宋_GBK"/>
          <w:b w:val="0"/>
          <w:bCs w:val="0"/>
          <w:kern w:val="0"/>
          <w:sz w:val="32"/>
          <w:szCs w:val="32"/>
          <w:lang w:eastAsia="zh-CN"/>
        </w:rPr>
        <w:t xml:space="preserve">   如在通过研判会商工作后，以及在后续完成企业登记设立、完成基金业协会登记备案和开展私募基金管理业务过程中，如违反上述承诺，企业及出资方将承担相应责任。</w:t>
      </w:r>
    </w:p>
    <w:p w14:paraId="10D317AD">
      <w:pPr>
        <w:tabs>
          <w:tab w:val="left" w:pos="540"/>
          <w:tab w:val="left" w:pos="7200"/>
        </w:tabs>
        <w:spacing w:line="48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ascii="仿宋_GB2312" w:hAnsi="仿宋_GB2312" w:eastAsia="仿宋_GB2312" w:cs="仿宋_GB2312"/>
          <w:sz w:val="32"/>
          <w:szCs w:val="32"/>
        </w:rPr>
        <w:t xml:space="preserve">   </w:t>
      </w:r>
    </w:p>
    <w:p w14:paraId="7DE1AC91">
      <w:pPr>
        <w:tabs>
          <w:tab w:val="left" w:pos="540"/>
          <w:tab w:val="left" w:pos="7200"/>
        </w:tabs>
        <w:spacing w:line="480" w:lineRule="exact"/>
        <w:ind w:left="-2" w:leftChars="-1" w:firstLine="720" w:firstLineChars="225"/>
        <w:rPr>
          <w:rFonts w:ascii="仿宋_GB2312" w:hAnsi="仿宋_GB2312" w:eastAsia="仿宋_GB2312" w:cs="仿宋_GB2312"/>
          <w:sz w:val="32"/>
          <w:szCs w:val="32"/>
        </w:rPr>
      </w:pPr>
    </w:p>
    <w:p w14:paraId="1DC6214F">
      <w:pPr>
        <w:spacing w:line="360" w:lineRule="auto"/>
        <w:ind w:firstLine="4320" w:firstLineChars="1350"/>
        <w:rPr>
          <w:rFonts w:ascii="仿宋_GB2312" w:hAnsi="仿宋_GB2312" w:eastAsia="仿宋_GB2312" w:cs="仿宋_GB2312"/>
          <w:sz w:val="32"/>
          <w:szCs w:val="32"/>
        </w:rPr>
      </w:pPr>
      <w:r>
        <w:rPr>
          <w:rFonts w:hint="eastAsia" w:ascii="方正仿宋_GBK" w:hAnsi="方正仿宋_GBK" w:eastAsia="方正仿宋_GBK" w:cs="方正仿宋_GBK"/>
          <w:b w:val="0"/>
          <w:bCs w:val="0"/>
          <w:kern w:val="0"/>
          <w:sz w:val="32"/>
          <w:szCs w:val="32"/>
          <w:lang w:eastAsia="zh-CN"/>
        </w:rPr>
        <w:t>全体投资者签字（盖章）：</w:t>
      </w:r>
    </w:p>
    <w:p w14:paraId="6CB43CBB">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方正仿宋_GBK" w:hAnsi="方正仿宋_GBK" w:eastAsia="方正仿宋_GBK" w:cs="方正仿宋_GBK"/>
          <w:b w:val="0"/>
          <w:bCs w:val="0"/>
          <w:kern w:val="0"/>
          <w:sz w:val="32"/>
          <w:szCs w:val="32"/>
          <w:lang w:eastAsia="zh-CN"/>
        </w:rPr>
        <w:t xml:space="preserve"> 年   月   日</w:t>
      </w:r>
    </w:p>
    <w:p w14:paraId="690A1316">
      <w:pPr>
        <w:spacing w:line="360" w:lineRule="auto"/>
        <w:ind w:firstLine="640" w:firstLineChars="200"/>
        <w:rPr>
          <w:rFonts w:hint="eastAsia" w:ascii="仿宋_GB2312" w:hAnsi="仿宋_GB2312" w:eastAsia="仿宋_GB2312" w:cs="仿宋_GB2312"/>
          <w:sz w:val="32"/>
          <w:szCs w:val="32"/>
        </w:rPr>
      </w:pPr>
    </w:p>
    <w:p w14:paraId="57A7171A">
      <w:pPr>
        <w:spacing w:line="360" w:lineRule="auto"/>
        <w:ind w:firstLine="640" w:firstLineChars="200"/>
        <w:rPr>
          <w:rFonts w:hint="eastAsia" w:ascii="仿宋_GB2312" w:hAnsi="仿宋_GB2312" w:eastAsia="仿宋_GB2312" w:cs="仿宋_GB2312"/>
          <w:sz w:val="32"/>
          <w:szCs w:val="32"/>
        </w:rPr>
      </w:pPr>
    </w:p>
    <w:p w14:paraId="48B171BB">
      <w:pPr>
        <w:spacing w:line="360" w:lineRule="auto"/>
        <w:ind w:firstLine="640" w:firstLineChars="200"/>
        <w:rPr>
          <w:rFonts w:hint="eastAsia" w:ascii="仿宋_GB2312" w:hAnsi="仿宋_GB2312" w:eastAsia="仿宋_GB2312" w:cs="仿宋_GB2312"/>
          <w:sz w:val="32"/>
          <w:szCs w:val="32"/>
        </w:rPr>
      </w:pPr>
    </w:p>
    <w:p w14:paraId="370461C0">
      <w:pPr>
        <w:spacing w:line="360" w:lineRule="auto"/>
        <w:ind w:firstLine="640" w:firstLineChars="200"/>
        <w:rPr>
          <w:rFonts w:hint="eastAsia" w:ascii="仿宋_GB2312" w:hAnsi="仿宋_GB2312" w:eastAsia="仿宋_GB2312" w:cs="仿宋_GB2312"/>
          <w:sz w:val="32"/>
          <w:szCs w:val="32"/>
        </w:rPr>
      </w:pPr>
    </w:p>
    <w:p w14:paraId="7B55A3A8">
      <w:pPr>
        <w:spacing w:line="360" w:lineRule="auto"/>
        <w:ind w:firstLine="640" w:firstLineChars="200"/>
        <w:rPr>
          <w:rFonts w:hint="eastAsia" w:ascii="仿宋_GB2312" w:hAnsi="仿宋_GB2312" w:eastAsia="仿宋_GB2312" w:cs="仿宋_GB2312"/>
          <w:sz w:val="32"/>
          <w:szCs w:val="32"/>
        </w:rPr>
      </w:pPr>
    </w:p>
    <w:p w14:paraId="2CFABE17">
      <w:pPr>
        <w:spacing w:line="360" w:lineRule="auto"/>
        <w:ind w:firstLine="640" w:firstLineChars="200"/>
        <w:rPr>
          <w:rFonts w:hint="eastAsia" w:ascii="仿宋_GB2312" w:hAnsi="仿宋_GB2312" w:eastAsia="仿宋_GB2312" w:cs="仿宋_GB2312"/>
          <w:sz w:val="32"/>
          <w:szCs w:val="32"/>
        </w:rPr>
      </w:pPr>
    </w:p>
    <w:p w14:paraId="476A0573">
      <w:pPr>
        <w:spacing w:line="360" w:lineRule="auto"/>
        <w:ind w:firstLine="640" w:firstLineChars="200"/>
        <w:rPr>
          <w:rFonts w:hint="eastAsia" w:ascii="仿宋_GB2312" w:hAnsi="仿宋_GB2312" w:eastAsia="仿宋_GB2312" w:cs="仿宋_GB2312"/>
          <w:sz w:val="32"/>
          <w:szCs w:val="32"/>
        </w:rPr>
      </w:pPr>
    </w:p>
    <w:p w14:paraId="259FB99A">
      <w:pPr>
        <w:spacing w:line="360" w:lineRule="auto"/>
        <w:ind w:firstLine="640" w:firstLineChars="200"/>
        <w:rPr>
          <w:rFonts w:hint="eastAsia" w:ascii="仿宋_GB2312" w:hAnsi="仿宋_GB2312" w:eastAsia="仿宋_GB2312" w:cs="仿宋_GB2312"/>
          <w:sz w:val="32"/>
          <w:szCs w:val="32"/>
        </w:rPr>
      </w:pPr>
    </w:p>
    <w:p w14:paraId="3BEE261D">
      <w:pPr>
        <w:spacing w:line="360" w:lineRule="auto"/>
        <w:ind w:firstLine="640" w:firstLineChars="200"/>
        <w:rPr>
          <w:rFonts w:hint="eastAsia" w:ascii="仿宋_GB2312" w:hAnsi="仿宋_GB2312" w:eastAsia="仿宋_GB2312" w:cs="仿宋_GB2312"/>
          <w:sz w:val="32"/>
          <w:szCs w:val="32"/>
        </w:rPr>
      </w:pPr>
    </w:p>
    <w:p w14:paraId="4E7F3CD0">
      <w:pPr>
        <w:spacing w:line="360" w:lineRule="auto"/>
        <w:rPr>
          <w:rFonts w:hint="eastAsia" w:ascii="仿宋_GB2312" w:hAnsi="仿宋_GB2312" w:eastAsia="仿宋_GB2312" w:cs="仿宋_GB2312"/>
          <w:sz w:val="32"/>
          <w:szCs w:val="32"/>
        </w:rPr>
      </w:pPr>
    </w:p>
    <w:p w14:paraId="5CB7877D">
      <w:pPr>
        <w:spacing w:line="360" w:lineRule="auto"/>
        <w:jc w:val="center"/>
        <w:rPr>
          <w:rFonts w:hint="eastAsia" w:ascii="仿宋_GB2312" w:hAnsi="仿宋_GB2312" w:eastAsia="仿宋_GB2312" w:cs="仿宋_GB2312"/>
          <w:b/>
          <w:sz w:val="44"/>
          <w:szCs w:val="44"/>
          <w:lang w:eastAsia="zh-CN"/>
        </w:rPr>
      </w:pPr>
      <w:r>
        <w:rPr>
          <w:rFonts w:hint="eastAsia" w:ascii="方正小标宋_GBK" w:hAnsi="方正小标宋_GBK" w:eastAsia="方正小标宋_GBK" w:cs="方正小标宋_GBK"/>
          <w:kern w:val="0"/>
          <w:sz w:val="44"/>
          <w:szCs w:val="44"/>
          <w:lang w:eastAsia="zh-CN"/>
        </w:rPr>
        <w:t>高管承诺函</w:t>
      </w:r>
    </w:p>
    <w:p w14:paraId="1B5A45A0">
      <w:pPr>
        <w:spacing w:line="360" w:lineRule="auto"/>
        <w:jc w:val="center"/>
        <w:rPr>
          <w:rFonts w:hint="eastAsia" w:ascii="仿宋_GB2312" w:hAnsi="仿宋_GB2312" w:eastAsia="仿宋_GB2312" w:cs="仿宋_GB2312"/>
          <w:b/>
          <w:sz w:val="44"/>
          <w:szCs w:val="44"/>
          <w:lang w:eastAsia="zh-CN"/>
        </w:rPr>
      </w:pPr>
    </w:p>
    <w:p w14:paraId="20656746">
      <w:pPr>
        <w:widowControl/>
        <w:tabs>
          <w:tab w:val="left" w:pos="7255"/>
        </w:tabs>
        <w:ind w:left="94" w:firstLine="640" w:firstLineChars="200"/>
        <w:jc w:val="left"/>
        <w:rPr>
          <w:rFonts w:hint="eastAsia" w:ascii="方正仿宋_GBK" w:hAnsi="方正仿宋_GBK" w:eastAsia="方正仿宋_GBK" w:cs="方正仿宋_GBK"/>
          <w:b w:val="0"/>
          <w:bCs w:val="0"/>
          <w:kern w:val="0"/>
          <w:sz w:val="32"/>
          <w:szCs w:val="32"/>
          <w:lang w:eastAsia="zh-CN"/>
        </w:rPr>
      </w:pPr>
      <w:r>
        <w:rPr>
          <w:rFonts w:hint="eastAsia" w:ascii="方正仿宋_GBK" w:hAnsi="方正仿宋_GBK" w:eastAsia="方正仿宋_GBK" w:cs="方正仿宋_GBK"/>
          <w:b w:val="0"/>
          <w:bCs w:val="0"/>
          <w:kern w:val="0"/>
          <w:sz w:val="32"/>
          <w:szCs w:val="32"/>
        </w:rPr>
        <w:t>本人拟任重庆XX私募</w:t>
      </w:r>
      <w:r>
        <w:rPr>
          <w:rFonts w:hint="eastAsia" w:ascii="方正仿宋_GBK" w:hAnsi="方正仿宋_GBK" w:eastAsia="方正仿宋_GBK" w:cs="方正仿宋_GBK"/>
          <w:b w:val="0"/>
          <w:bCs w:val="0"/>
          <w:kern w:val="0"/>
          <w:sz w:val="32"/>
          <w:szCs w:val="32"/>
          <w:lang w:eastAsia="zh-CN"/>
        </w:rPr>
        <w:t>股权</w:t>
      </w:r>
      <w:r>
        <w:rPr>
          <w:rFonts w:hint="eastAsia" w:ascii="方正仿宋_GBK" w:hAnsi="方正仿宋_GBK" w:eastAsia="方正仿宋_GBK" w:cs="方正仿宋_GBK"/>
          <w:b w:val="0"/>
          <w:bCs w:val="0"/>
          <w:kern w:val="0"/>
          <w:sz w:val="32"/>
          <w:szCs w:val="32"/>
        </w:rPr>
        <w:t>投资基金管理有限公司（以下简称该</w:t>
      </w:r>
      <w:r>
        <w:rPr>
          <w:rFonts w:hint="eastAsia" w:ascii="方正仿宋_GBK" w:hAnsi="方正仿宋_GBK" w:eastAsia="方正仿宋_GBK" w:cs="方正仿宋_GBK"/>
          <w:b w:val="0"/>
          <w:bCs w:val="0"/>
          <w:kern w:val="0"/>
          <w:sz w:val="32"/>
          <w:szCs w:val="32"/>
          <w:lang w:eastAsia="zh-CN"/>
        </w:rPr>
        <w:t>企业</w:t>
      </w:r>
      <w:r>
        <w:rPr>
          <w:rFonts w:hint="eastAsia" w:ascii="方正仿宋_GBK" w:hAnsi="方正仿宋_GBK" w:eastAsia="方正仿宋_GBK" w:cs="方正仿宋_GBK"/>
          <w:b w:val="0"/>
          <w:bCs w:val="0"/>
          <w:kern w:val="0"/>
          <w:sz w:val="32"/>
          <w:szCs w:val="32"/>
        </w:rPr>
        <w:t>）的</w:t>
      </w:r>
      <w:r>
        <w:rPr>
          <w:rFonts w:hint="eastAsia" w:ascii="方正仿宋_GBK" w:hAnsi="方正仿宋_GBK" w:eastAsia="方正仿宋_GBK" w:cs="方正仿宋_GBK"/>
          <w:b w:val="0"/>
          <w:bCs w:val="0"/>
          <w:kern w:val="0"/>
          <w:sz w:val="32"/>
          <w:szCs w:val="32"/>
          <w:lang w:val="en-US" w:eastAsia="zh-CN"/>
        </w:rPr>
        <w:t>xx职务</w:t>
      </w:r>
      <w:r>
        <w:rPr>
          <w:rFonts w:hint="eastAsia" w:ascii="方正仿宋_GBK" w:hAnsi="方正仿宋_GBK" w:eastAsia="方正仿宋_GBK" w:cs="方正仿宋_GBK"/>
          <w:b w:val="0"/>
          <w:bCs w:val="0"/>
          <w:kern w:val="0"/>
          <w:sz w:val="32"/>
          <w:szCs w:val="32"/>
        </w:rPr>
        <w:t>，清晰知晓作为</w:t>
      </w:r>
      <w:r>
        <w:rPr>
          <w:rFonts w:hint="eastAsia" w:ascii="方正仿宋_GBK" w:hAnsi="方正仿宋_GBK" w:eastAsia="方正仿宋_GBK" w:cs="方正仿宋_GBK"/>
          <w:b w:val="0"/>
          <w:bCs w:val="0"/>
          <w:kern w:val="0"/>
          <w:sz w:val="32"/>
          <w:szCs w:val="32"/>
          <w:lang w:eastAsia="zh-CN"/>
        </w:rPr>
        <w:t>私募基金管理企业</w:t>
      </w:r>
      <w:r>
        <w:rPr>
          <w:rFonts w:hint="eastAsia" w:ascii="方正仿宋_GBK" w:hAnsi="方正仿宋_GBK" w:eastAsia="方正仿宋_GBK" w:cs="方正仿宋_GBK"/>
          <w:b w:val="0"/>
          <w:bCs w:val="0"/>
          <w:kern w:val="0"/>
          <w:sz w:val="32"/>
          <w:szCs w:val="32"/>
        </w:rPr>
        <w:t>高级管理人员应具备的条件，以及应承担的责任和义务。现郑重承诺如下</w:t>
      </w:r>
      <w:r>
        <w:rPr>
          <w:rFonts w:hint="eastAsia" w:ascii="方正仿宋_GBK" w:hAnsi="方正仿宋_GBK" w:eastAsia="方正仿宋_GBK" w:cs="方正仿宋_GBK"/>
          <w:b w:val="0"/>
          <w:bCs w:val="0"/>
          <w:kern w:val="0"/>
          <w:sz w:val="32"/>
          <w:szCs w:val="32"/>
          <w:lang w:eastAsia="zh-CN"/>
        </w:rPr>
        <w:t>：</w:t>
      </w:r>
      <w:bookmarkStart w:id="0" w:name="_GoBack"/>
      <w:bookmarkEnd w:id="0"/>
    </w:p>
    <w:p w14:paraId="69C97021">
      <w:pPr>
        <w:widowControl/>
        <w:tabs>
          <w:tab w:val="left" w:pos="7255"/>
        </w:tabs>
        <w:ind w:left="94" w:firstLine="640" w:firstLineChars="200"/>
        <w:jc w:val="left"/>
        <w:rPr>
          <w:rFonts w:hint="eastAsia" w:ascii="方正仿宋_GBK" w:hAnsi="方正仿宋_GBK" w:eastAsia="方正仿宋_GBK" w:cs="方正仿宋_GBK"/>
          <w:b w:val="0"/>
          <w:bCs w:val="0"/>
          <w:kern w:val="0"/>
          <w:sz w:val="32"/>
          <w:szCs w:val="32"/>
        </w:rPr>
      </w:pPr>
      <w:r>
        <w:rPr>
          <w:rFonts w:hint="eastAsia" w:ascii="方正仿宋_GBK" w:hAnsi="方正仿宋_GBK" w:eastAsia="方正仿宋_GBK" w:cs="方正仿宋_GBK"/>
          <w:b w:val="0"/>
          <w:bCs w:val="0"/>
          <w:kern w:val="0"/>
          <w:sz w:val="32"/>
          <w:szCs w:val="32"/>
          <w:lang w:eastAsia="zh-CN"/>
        </w:rPr>
        <w:t>一、本人不存在以下情形</w:t>
      </w:r>
      <w:r>
        <w:rPr>
          <w:rFonts w:hint="eastAsia" w:ascii="方正仿宋_GBK" w:hAnsi="方正仿宋_GBK" w:eastAsia="方正仿宋_GBK" w:cs="方正仿宋_GBK"/>
          <w:b w:val="0"/>
          <w:bCs w:val="0"/>
          <w:kern w:val="0"/>
          <w:sz w:val="32"/>
          <w:szCs w:val="32"/>
        </w:rPr>
        <w:t>：</w:t>
      </w:r>
    </w:p>
    <w:p w14:paraId="3EE7A6A9">
      <w:pPr>
        <w:widowControl/>
        <w:tabs>
          <w:tab w:val="left" w:pos="7255"/>
        </w:tabs>
        <w:ind w:left="94" w:firstLine="640" w:firstLineChars="200"/>
        <w:jc w:val="left"/>
        <w:rPr>
          <w:rFonts w:hint="eastAsia" w:ascii="方正仿宋_GBK" w:hAnsi="方正仿宋_GBK" w:eastAsia="方正仿宋_GBK" w:cs="方正仿宋_GBK"/>
          <w:b w:val="0"/>
          <w:bCs w:val="0"/>
          <w:kern w:val="0"/>
          <w:sz w:val="32"/>
          <w:szCs w:val="32"/>
        </w:rPr>
      </w:pPr>
      <w:r>
        <w:rPr>
          <w:rFonts w:hint="eastAsia" w:ascii="方正仿宋_GBK" w:hAnsi="方正仿宋_GBK" w:eastAsia="方正仿宋_GBK" w:cs="方正仿宋_GBK"/>
          <w:b w:val="0"/>
          <w:bCs w:val="0"/>
          <w:kern w:val="0"/>
          <w:sz w:val="32"/>
          <w:szCs w:val="32"/>
        </w:rPr>
        <w:t>（一）因犯有贪污贿赂、渎职、侵犯财产罪或者破坏社会主义市场经济秩序罪，被判处刑罚；</w:t>
      </w:r>
    </w:p>
    <w:p w14:paraId="2D7BC29D">
      <w:pPr>
        <w:widowControl/>
        <w:tabs>
          <w:tab w:val="left" w:pos="7255"/>
        </w:tabs>
        <w:ind w:left="94" w:firstLine="640" w:firstLineChars="200"/>
        <w:jc w:val="left"/>
        <w:rPr>
          <w:rFonts w:hint="eastAsia" w:ascii="方正仿宋_GBK" w:hAnsi="方正仿宋_GBK" w:eastAsia="方正仿宋_GBK" w:cs="方正仿宋_GBK"/>
          <w:b w:val="0"/>
          <w:bCs w:val="0"/>
          <w:kern w:val="0"/>
          <w:sz w:val="32"/>
          <w:szCs w:val="32"/>
        </w:rPr>
      </w:pPr>
      <w:r>
        <w:rPr>
          <w:rFonts w:hint="eastAsia" w:ascii="方正仿宋_GBK" w:hAnsi="方正仿宋_GBK" w:eastAsia="方正仿宋_GBK" w:cs="方正仿宋_GBK"/>
          <w:b w:val="0"/>
          <w:bCs w:val="0"/>
          <w:kern w:val="0"/>
          <w:sz w:val="32"/>
          <w:szCs w:val="32"/>
        </w:rPr>
        <w:t>（二）最近3年因重大违法违规行为被金融管理部门处以行政处罚；</w:t>
      </w:r>
    </w:p>
    <w:p w14:paraId="22B4BCD6">
      <w:pPr>
        <w:widowControl/>
        <w:tabs>
          <w:tab w:val="left" w:pos="7255"/>
        </w:tabs>
        <w:ind w:left="94" w:firstLine="640" w:firstLineChars="200"/>
        <w:jc w:val="left"/>
        <w:rPr>
          <w:rFonts w:hint="eastAsia" w:ascii="方正仿宋_GBK" w:hAnsi="方正仿宋_GBK" w:eastAsia="方正仿宋_GBK" w:cs="方正仿宋_GBK"/>
          <w:b w:val="0"/>
          <w:bCs w:val="0"/>
          <w:kern w:val="0"/>
          <w:sz w:val="32"/>
          <w:szCs w:val="32"/>
        </w:rPr>
      </w:pPr>
      <w:r>
        <w:rPr>
          <w:rFonts w:hint="eastAsia" w:ascii="方正仿宋_GBK" w:hAnsi="方正仿宋_GBK" w:eastAsia="方正仿宋_GBK" w:cs="方正仿宋_GBK"/>
          <w:b w:val="0"/>
          <w:bCs w:val="0"/>
          <w:kern w:val="0"/>
          <w:sz w:val="32"/>
          <w:szCs w:val="32"/>
        </w:rPr>
        <w:t>（三）被中国证监会采取市场禁入措施，执行期尚未届满；</w:t>
      </w:r>
    </w:p>
    <w:p w14:paraId="27B1A5F4">
      <w:pPr>
        <w:widowControl/>
        <w:tabs>
          <w:tab w:val="left" w:pos="7255"/>
        </w:tabs>
        <w:ind w:left="94" w:firstLine="640" w:firstLineChars="200"/>
        <w:jc w:val="left"/>
        <w:rPr>
          <w:rFonts w:hint="eastAsia" w:ascii="方正仿宋_GBK" w:hAnsi="方正仿宋_GBK" w:eastAsia="方正仿宋_GBK" w:cs="方正仿宋_GBK"/>
          <w:b w:val="0"/>
          <w:bCs w:val="0"/>
          <w:kern w:val="0"/>
          <w:sz w:val="32"/>
          <w:szCs w:val="32"/>
        </w:rPr>
      </w:pPr>
      <w:r>
        <w:rPr>
          <w:rFonts w:hint="eastAsia" w:ascii="方正仿宋_GBK" w:hAnsi="方正仿宋_GBK" w:eastAsia="方正仿宋_GBK" w:cs="方正仿宋_GBK"/>
          <w:b w:val="0"/>
          <w:bCs w:val="0"/>
          <w:kern w:val="0"/>
          <w:sz w:val="32"/>
          <w:szCs w:val="32"/>
        </w:rPr>
        <w:t>（四）最近3年被中国证监会采取行政监管措施或者被协会采取纪律处分措施，情节严重；</w:t>
      </w:r>
    </w:p>
    <w:p w14:paraId="0C12F4A5">
      <w:pPr>
        <w:widowControl/>
        <w:tabs>
          <w:tab w:val="left" w:pos="7255"/>
        </w:tabs>
        <w:ind w:left="94" w:firstLine="640" w:firstLineChars="200"/>
        <w:jc w:val="left"/>
        <w:rPr>
          <w:rFonts w:hint="eastAsia" w:ascii="方正仿宋_GBK" w:hAnsi="方正仿宋_GBK" w:eastAsia="方正仿宋_GBK" w:cs="方正仿宋_GBK"/>
          <w:b w:val="0"/>
          <w:bCs w:val="0"/>
          <w:kern w:val="0"/>
          <w:sz w:val="32"/>
          <w:szCs w:val="32"/>
        </w:rPr>
      </w:pPr>
      <w:r>
        <w:rPr>
          <w:rFonts w:hint="eastAsia" w:ascii="方正仿宋_GBK" w:hAnsi="方正仿宋_GBK" w:eastAsia="方正仿宋_GBK" w:cs="方正仿宋_GBK"/>
          <w:b w:val="0"/>
          <w:bCs w:val="0"/>
          <w:kern w:val="0"/>
          <w:sz w:val="32"/>
          <w:szCs w:val="32"/>
        </w:rPr>
        <w:t>（五）对所任职的公司、企业因经营不善破产清算或者因违法被吊销营业执照负有个人责任的董事、监事、高级管理人员、执行事务合伙人或其委派代表，自该公司、企业破产清算终结或者被吊销营业执照之日起未逾5年；</w:t>
      </w:r>
    </w:p>
    <w:p w14:paraId="69A99A88">
      <w:pPr>
        <w:widowControl/>
        <w:tabs>
          <w:tab w:val="left" w:pos="7255"/>
        </w:tabs>
        <w:ind w:left="94" w:firstLine="640" w:firstLineChars="200"/>
        <w:jc w:val="left"/>
        <w:rPr>
          <w:rFonts w:hint="eastAsia" w:ascii="方正仿宋_GBK" w:hAnsi="方正仿宋_GBK" w:eastAsia="方正仿宋_GBK" w:cs="方正仿宋_GBK"/>
          <w:b w:val="0"/>
          <w:bCs w:val="0"/>
          <w:kern w:val="0"/>
          <w:sz w:val="32"/>
          <w:szCs w:val="32"/>
        </w:rPr>
      </w:pPr>
      <w:r>
        <w:rPr>
          <w:rFonts w:hint="eastAsia" w:ascii="方正仿宋_GBK" w:hAnsi="方正仿宋_GBK" w:eastAsia="方正仿宋_GBK" w:cs="方正仿宋_GBK"/>
          <w:b w:val="0"/>
          <w:bCs w:val="0"/>
          <w:kern w:val="0"/>
          <w:sz w:val="32"/>
          <w:szCs w:val="32"/>
        </w:rPr>
        <w:t>（六）因违法行为或者违纪行为被开除的基金管理人、基金托管人、证券期货交易场所、证券公司、证券登记结算机构、期货公司等机构的从业人员和国家机关工作人员，自被开除之日起未逾 5 年；</w:t>
      </w:r>
    </w:p>
    <w:p w14:paraId="734FD082">
      <w:pPr>
        <w:widowControl/>
        <w:tabs>
          <w:tab w:val="left" w:pos="7255"/>
        </w:tabs>
        <w:ind w:left="94" w:firstLine="640" w:firstLineChars="200"/>
        <w:jc w:val="left"/>
        <w:rPr>
          <w:rFonts w:hint="eastAsia" w:ascii="方正仿宋_GBK" w:hAnsi="方正仿宋_GBK" w:eastAsia="方正仿宋_GBK" w:cs="方正仿宋_GBK"/>
          <w:b w:val="0"/>
          <w:bCs w:val="0"/>
          <w:kern w:val="0"/>
          <w:sz w:val="32"/>
          <w:szCs w:val="32"/>
        </w:rPr>
      </w:pPr>
      <w:r>
        <w:rPr>
          <w:rFonts w:hint="eastAsia" w:ascii="方正仿宋_GBK" w:hAnsi="方正仿宋_GBK" w:eastAsia="方正仿宋_GBK" w:cs="方正仿宋_GBK"/>
          <w:b w:val="0"/>
          <w:bCs w:val="0"/>
          <w:kern w:val="0"/>
          <w:sz w:val="32"/>
          <w:szCs w:val="32"/>
        </w:rPr>
        <w:t>（七）因违法行为被吊销执业证书或者被取消资格的律师、注册会计师和资产评估等机构的从业人员、投资咨询从业人员，自被吊销执业证书或者被取消资格之日起未逾 5 年；</w:t>
      </w:r>
    </w:p>
    <w:p w14:paraId="7C24E432">
      <w:pPr>
        <w:widowControl/>
        <w:tabs>
          <w:tab w:val="left" w:pos="7255"/>
        </w:tabs>
        <w:ind w:left="94" w:firstLine="640" w:firstLineChars="200"/>
        <w:jc w:val="left"/>
        <w:rPr>
          <w:rFonts w:hint="eastAsia" w:ascii="方正仿宋_GBK" w:hAnsi="方正仿宋_GBK" w:eastAsia="方正仿宋_GBK" w:cs="方正仿宋_GBK"/>
          <w:b w:val="0"/>
          <w:bCs w:val="0"/>
          <w:kern w:val="0"/>
          <w:sz w:val="32"/>
          <w:szCs w:val="32"/>
        </w:rPr>
      </w:pPr>
      <w:r>
        <w:rPr>
          <w:rFonts w:hint="eastAsia" w:ascii="方正仿宋_GBK" w:hAnsi="方正仿宋_GBK" w:eastAsia="方正仿宋_GBK" w:cs="方正仿宋_GBK"/>
          <w:b w:val="0"/>
          <w:bCs w:val="0"/>
          <w:kern w:val="0"/>
          <w:sz w:val="32"/>
          <w:szCs w:val="32"/>
        </w:rPr>
        <w:t>（八）因违反诚实信用、公序良俗等职业道德或者存在重大违法违规行为，引发社会重大质疑或者产生严重社会负面影响且尚未消除；对所任职企业的重大违规行为或者重大风险负有主要责任未逾 3 年；</w:t>
      </w:r>
    </w:p>
    <w:p w14:paraId="17F6F7AC">
      <w:pPr>
        <w:widowControl/>
        <w:tabs>
          <w:tab w:val="left" w:pos="7255"/>
        </w:tabs>
        <w:ind w:left="94" w:firstLine="640" w:firstLineChars="200"/>
        <w:jc w:val="left"/>
        <w:rPr>
          <w:rFonts w:hint="eastAsia" w:ascii="方正仿宋_GBK" w:hAnsi="方正仿宋_GBK" w:eastAsia="方正仿宋_GBK" w:cs="方正仿宋_GBK"/>
          <w:b w:val="0"/>
          <w:bCs w:val="0"/>
          <w:kern w:val="0"/>
          <w:sz w:val="32"/>
          <w:szCs w:val="32"/>
        </w:rPr>
      </w:pPr>
      <w:r>
        <w:rPr>
          <w:rFonts w:hint="eastAsia" w:ascii="方正仿宋_GBK" w:hAnsi="方正仿宋_GBK" w:eastAsia="方正仿宋_GBK" w:cs="方正仿宋_GBK"/>
          <w:b w:val="0"/>
          <w:bCs w:val="0"/>
          <w:kern w:val="0"/>
          <w:sz w:val="32"/>
          <w:szCs w:val="32"/>
        </w:rPr>
        <w:t>（九）因</w:t>
      </w:r>
      <w:r>
        <w:rPr>
          <w:rFonts w:hint="eastAsia" w:ascii="方正仿宋_GBK" w:hAnsi="方正仿宋_GBK" w:eastAsia="方正仿宋_GBK" w:cs="方正仿宋_GBK"/>
          <w:b w:val="0"/>
          <w:bCs w:val="0"/>
          <w:kern w:val="0"/>
          <w:sz w:val="32"/>
          <w:szCs w:val="32"/>
          <w:lang w:eastAsia="zh-CN"/>
        </w:rPr>
        <w:t>《私募投资基金登记备案办法》</w:t>
      </w:r>
      <w:r>
        <w:rPr>
          <w:rFonts w:hint="eastAsia" w:ascii="方正仿宋_GBK" w:hAnsi="方正仿宋_GBK" w:eastAsia="方正仿宋_GBK" w:cs="方正仿宋_GBK"/>
          <w:b w:val="0"/>
          <w:bCs w:val="0"/>
          <w:kern w:val="0"/>
          <w:sz w:val="32"/>
          <w:szCs w:val="32"/>
        </w:rPr>
        <w:t>第二十五条第一款第六项、第八项所列情形被终止私募基金管理人登记的机构的控股股东、实际控制人、普通合伙人、法定代表人、执行事务合伙人或其委派代表、负有责任的高级管理人员和直接责任人员，自该机构被终止私募基金管理人登记之日起未逾 3 年；</w:t>
      </w:r>
    </w:p>
    <w:p w14:paraId="25C7830D">
      <w:pPr>
        <w:widowControl/>
        <w:tabs>
          <w:tab w:val="left" w:pos="7255"/>
        </w:tabs>
        <w:ind w:left="94" w:firstLine="640" w:firstLineChars="200"/>
        <w:jc w:val="left"/>
        <w:rPr>
          <w:rFonts w:hint="eastAsia" w:ascii="方正仿宋_GBK" w:hAnsi="方正仿宋_GBK" w:eastAsia="方正仿宋_GBK" w:cs="方正仿宋_GBK"/>
          <w:b w:val="0"/>
          <w:bCs w:val="0"/>
          <w:kern w:val="0"/>
          <w:sz w:val="32"/>
          <w:szCs w:val="32"/>
        </w:rPr>
      </w:pPr>
      <w:r>
        <w:rPr>
          <w:rFonts w:hint="eastAsia" w:ascii="方正仿宋_GBK" w:hAnsi="方正仿宋_GBK" w:eastAsia="方正仿宋_GBK" w:cs="方正仿宋_GBK"/>
          <w:b w:val="0"/>
          <w:bCs w:val="0"/>
          <w:kern w:val="0"/>
          <w:sz w:val="32"/>
          <w:szCs w:val="32"/>
        </w:rPr>
        <w:t>（十）因</w:t>
      </w:r>
      <w:r>
        <w:rPr>
          <w:rFonts w:hint="eastAsia" w:ascii="方正仿宋_GBK" w:hAnsi="方正仿宋_GBK" w:eastAsia="方正仿宋_GBK" w:cs="方正仿宋_GBK"/>
          <w:b w:val="0"/>
          <w:bCs w:val="0"/>
          <w:kern w:val="0"/>
          <w:sz w:val="32"/>
          <w:szCs w:val="32"/>
          <w:lang w:eastAsia="zh-CN"/>
        </w:rPr>
        <w:t>《私募投资基金登记备案办法》</w:t>
      </w:r>
      <w:r>
        <w:rPr>
          <w:rFonts w:hint="eastAsia" w:ascii="方正仿宋_GBK" w:hAnsi="方正仿宋_GBK" w:eastAsia="方正仿宋_GBK" w:cs="方正仿宋_GBK"/>
          <w:b w:val="0"/>
          <w:bCs w:val="0"/>
          <w:kern w:val="0"/>
          <w:sz w:val="32"/>
          <w:szCs w:val="32"/>
        </w:rPr>
        <w:t>第七十七条所列情形被注销登记的私募基金管理人的控股股东、实际控制人、普通合伙人、法定代表人、执行事务合伙人或其委派代表、负有责任的高级管理人员和直接责任人员，自该私募基金管理人被注销登记之日起未逾 3 年；</w:t>
      </w:r>
    </w:p>
    <w:p w14:paraId="257F174C">
      <w:pPr>
        <w:widowControl/>
        <w:tabs>
          <w:tab w:val="left" w:pos="7255"/>
        </w:tabs>
        <w:ind w:left="94" w:firstLine="640" w:firstLineChars="200"/>
        <w:jc w:val="left"/>
        <w:rPr>
          <w:rFonts w:hint="eastAsia" w:ascii="方正仿宋_GBK" w:hAnsi="方正仿宋_GBK" w:eastAsia="方正仿宋_GBK" w:cs="方正仿宋_GBK"/>
          <w:b w:val="0"/>
          <w:bCs w:val="0"/>
          <w:kern w:val="0"/>
          <w:sz w:val="32"/>
          <w:szCs w:val="32"/>
        </w:rPr>
      </w:pPr>
      <w:r>
        <w:rPr>
          <w:rFonts w:hint="eastAsia" w:ascii="方正仿宋_GBK" w:hAnsi="方正仿宋_GBK" w:eastAsia="方正仿宋_GBK" w:cs="方正仿宋_GBK"/>
          <w:b w:val="0"/>
          <w:bCs w:val="0"/>
          <w:kern w:val="0"/>
          <w:sz w:val="32"/>
          <w:szCs w:val="32"/>
        </w:rPr>
        <w:t>（十一）所负债务数额较大且到期未清偿，或者被列为严重失信人或者被纳入失信被执行人名单；</w:t>
      </w:r>
    </w:p>
    <w:p w14:paraId="542BA764">
      <w:pPr>
        <w:widowControl/>
        <w:tabs>
          <w:tab w:val="left" w:pos="7255"/>
        </w:tabs>
        <w:ind w:left="94" w:firstLine="640" w:firstLineChars="200"/>
        <w:jc w:val="left"/>
        <w:rPr>
          <w:rFonts w:hint="eastAsia" w:ascii="方正仿宋_GBK" w:hAnsi="方正仿宋_GBK" w:eastAsia="方正仿宋_GBK" w:cs="方正仿宋_GBK"/>
          <w:b w:val="0"/>
          <w:bCs w:val="0"/>
          <w:kern w:val="0"/>
          <w:sz w:val="32"/>
          <w:szCs w:val="32"/>
        </w:rPr>
      </w:pPr>
      <w:r>
        <w:rPr>
          <w:rFonts w:hint="eastAsia" w:ascii="方正仿宋_GBK" w:hAnsi="方正仿宋_GBK" w:eastAsia="方正仿宋_GBK" w:cs="方正仿宋_GBK"/>
          <w:b w:val="0"/>
          <w:bCs w:val="0"/>
          <w:kern w:val="0"/>
          <w:sz w:val="32"/>
          <w:szCs w:val="32"/>
        </w:rPr>
        <w:t>（十二）法律、行政法规、中国证监会和协会规定的其他情形。</w:t>
      </w:r>
    </w:p>
    <w:p w14:paraId="7F71C6DC">
      <w:pPr>
        <w:widowControl/>
        <w:tabs>
          <w:tab w:val="left" w:pos="7255"/>
        </w:tabs>
        <w:ind w:left="94" w:firstLine="640" w:firstLineChars="200"/>
        <w:jc w:val="left"/>
        <w:rPr>
          <w:rFonts w:ascii="Times New Roman" w:hAnsi="Times New Roman" w:eastAsia="方正仿宋_GBK" w:cs="Times New Roman"/>
          <w:sz w:val="32"/>
          <w:szCs w:val="32"/>
        </w:rPr>
      </w:pPr>
      <w:r>
        <w:rPr>
          <w:rFonts w:hint="eastAsia" w:ascii="方正仿宋_GBK" w:hAnsi="方正仿宋_GBK" w:eastAsia="方正仿宋_GBK" w:cs="方正仿宋_GBK"/>
          <w:b w:val="0"/>
          <w:bCs w:val="0"/>
          <w:kern w:val="0"/>
          <w:sz w:val="32"/>
          <w:szCs w:val="32"/>
          <w:lang w:eastAsia="zh-CN"/>
        </w:rPr>
        <w:t>二、本次</w:t>
      </w:r>
      <w:r>
        <w:rPr>
          <w:rFonts w:hint="eastAsia" w:ascii="方正仿宋_GBK" w:hAnsi="方正仿宋_GBK" w:eastAsia="方正仿宋_GBK" w:cs="方正仿宋_GBK"/>
          <w:b w:val="0"/>
          <w:bCs w:val="0"/>
          <w:kern w:val="0"/>
          <w:sz w:val="32"/>
          <w:szCs w:val="32"/>
        </w:rPr>
        <w:t>承诺提供的基本信息、诚信信息、兼职</w:t>
      </w:r>
      <w:r>
        <w:rPr>
          <w:rFonts w:hint="eastAsia" w:ascii="方正仿宋_GBK" w:hAnsi="方正仿宋_GBK" w:eastAsia="方正仿宋_GBK" w:cs="方正仿宋_GBK"/>
          <w:b w:val="0"/>
          <w:bCs w:val="0"/>
          <w:kern w:val="0"/>
          <w:sz w:val="32"/>
          <w:szCs w:val="32"/>
          <w:lang w:eastAsia="zh-CN"/>
        </w:rPr>
        <w:t>、</w:t>
      </w:r>
      <w:r>
        <w:rPr>
          <w:rFonts w:hint="eastAsia" w:ascii="方正仿宋_GBK" w:hAnsi="方正仿宋_GBK" w:eastAsia="方正仿宋_GBK" w:cs="方正仿宋_GBK"/>
          <w:b w:val="0"/>
          <w:bCs w:val="0"/>
          <w:kern w:val="0"/>
          <w:sz w:val="32"/>
          <w:szCs w:val="32"/>
        </w:rPr>
        <w:t>挂职信息</w:t>
      </w:r>
      <w:r>
        <w:rPr>
          <w:rFonts w:hint="eastAsia" w:ascii="方正仿宋_GBK" w:hAnsi="方正仿宋_GBK" w:eastAsia="方正仿宋_GBK" w:cs="方正仿宋_GBK"/>
          <w:b w:val="0"/>
          <w:bCs w:val="0"/>
          <w:kern w:val="0"/>
          <w:sz w:val="32"/>
          <w:szCs w:val="32"/>
          <w:lang w:eastAsia="zh-CN"/>
        </w:rPr>
        <w:t>及</w:t>
      </w:r>
      <w:r>
        <w:rPr>
          <w:rFonts w:hint="eastAsia" w:ascii="方正仿宋_GBK" w:hAnsi="方正仿宋_GBK" w:eastAsia="方正仿宋_GBK" w:cs="方正仿宋_GBK"/>
          <w:b w:val="0"/>
          <w:bCs w:val="0"/>
          <w:kern w:val="0"/>
          <w:sz w:val="32"/>
          <w:szCs w:val="32"/>
        </w:rPr>
        <w:t>投资管理业绩证明</w:t>
      </w:r>
      <w:r>
        <w:rPr>
          <w:rFonts w:hint="eastAsia" w:ascii="方正仿宋_GBK" w:hAnsi="方正仿宋_GBK" w:eastAsia="方正仿宋_GBK" w:cs="方正仿宋_GBK"/>
          <w:b w:val="0"/>
          <w:bCs w:val="0"/>
          <w:kern w:val="0"/>
          <w:sz w:val="32"/>
          <w:szCs w:val="32"/>
          <w:lang w:eastAsia="zh-CN"/>
        </w:rPr>
        <w:t>等材料</w:t>
      </w:r>
      <w:r>
        <w:rPr>
          <w:rFonts w:hint="eastAsia" w:ascii="方正仿宋_GBK" w:hAnsi="方正仿宋_GBK" w:eastAsia="方正仿宋_GBK" w:cs="方正仿宋_GBK"/>
          <w:b w:val="0"/>
          <w:bCs w:val="0"/>
          <w:kern w:val="0"/>
          <w:sz w:val="32"/>
          <w:szCs w:val="32"/>
        </w:rPr>
        <w:t>真实、准确、完整，不存在虚假或误导性陈述。</w:t>
      </w:r>
      <w:r>
        <w:rPr>
          <w:rFonts w:ascii="Times New Roman" w:hAnsi="Times New Roman" w:eastAsia="方正仿宋_GBK" w:cs="Times New Roman"/>
          <w:color w:val="000000"/>
          <w:kern w:val="0"/>
          <w:sz w:val="32"/>
          <w:szCs w:val="32"/>
          <w:shd w:val="clear" w:color="auto" w:fill="FFFFFF"/>
        </w:rPr>
        <w:tab/>
      </w:r>
    </w:p>
    <w:p w14:paraId="3D55289F">
      <w:pPr>
        <w:widowControl/>
        <w:tabs>
          <w:tab w:val="left" w:pos="4965"/>
        </w:tabs>
        <w:snapToGrid w:val="0"/>
        <w:spacing w:line="560" w:lineRule="exact"/>
        <w:ind w:left="200" w:right="200" w:firstLine="640" w:firstLineChars="200"/>
        <w:jc w:val="left"/>
        <w:textAlignment w:val="baseline"/>
        <w:rPr>
          <w:rFonts w:ascii="Times New Roman" w:hAnsi="Times New Roman" w:eastAsia="方正仿宋_GBK" w:cs="Times New Roman"/>
          <w:color w:val="000000"/>
          <w:kern w:val="0"/>
          <w:sz w:val="32"/>
          <w:szCs w:val="32"/>
          <w:shd w:val="clear" w:color="auto" w:fill="FFFFFF"/>
        </w:rPr>
      </w:pPr>
      <w:r>
        <w:rPr>
          <w:rFonts w:ascii="Times New Roman" w:hAnsi="Times New Roman" w:eastAsia="方正仿宋_GBK" w:cs="Times New Roman"/>
          <w:color w:val="000000"/>
          <w:kern w:val="0"/>
          <w:sz w:val="32"/>
          <w:szCs w:val="32"/>
          <w:shd w:val="clear" w:color="auto" w:fill="FFFFFF"/>
        </w:rPr>
        <w:tab/>
      </w:r>
    </w:p>
    <w:p w14:paraId="715FFEAA">
      <w:pPr>
        <w:widowControl/>
        <w:tabs>
          <w:tab w:val="left" w:pos="4965"/>
        </w:tabs>
        <w:snapToGrid w:val="0"/>
        <w:spacing w:line="560" w:lineRule="exact"/>
        <w:ind w:left="200" w:right="200" w:firstLine="640" w:firstLineChars="200"/>
        <w:jc w:val="right"/>
        <w:textAlignment w:val="baseline"/>
        <w:rPr>
          <w:rFonts w:ascii="Times New Roman" w:hAnsi="Times New Roman" w:eastAsia="方正仿宋_GBK" w:cs="Times New Roman"/>
          <w:color w:val="000000"/>
          <w:kern w:val="0"/>
          <w:sz w:val="32"/>
          <w:szCs w:val="32"/>
          <w:shd w:val="clear" w:color="auto" w:fill="FFFFFF"/>
        </w:rPr>
      </w:pPr>
    </w:p>
    <w:p w14:paraId="65F06287">
      <w:pPr>
        <w:widowControl/>
        <w:tabs>
          <w:tab w:val="left" w:pos="7255"/>
        </w:tabs>
        <w:ind w:left="94" w:firstLine="640" w:firstLineChars="200"/>
        <w:jc w:val="right"/>
        <w:rPr>
          <w:rFonts w:hint="eastAsia" w:ascii="方正仿宋_GBK" w:hAnsi="方正仿宋_GBK" w:eastAsia="方正仿宋_GBK" w:cs="方正仿宋_GBK"/>
          <w:b w:val="0"/>
          <w:bCs w:val="0"/>
          <w:kern w:val="0"/>
          <w:sz w:val="32"/>
          <w:szCs w:val="32"/>
        </w:rPr>
      </w:pPr>
      <w:r>
        <w:rPr>
          <w:rFonts w:hint="eastAsia" w:ascii="Times New Roman" w:hAnsi="Times New Roman" w:eastAsia="方正仿宋_GBK" w:cs="Times New Roman"/>
          <w:color w:val="000000"/>
          <w:kern w:val="0"/>
          <w:sz w:val="32"/>
          <w:szCs w:val="32"/>
          <w:shd w:val="clear" w:color="auto" w:fill="FFFFFF"/>
        </w:rPr>
        <w:t xml:space="preserve">                </w:t>
      </w:r>
      <w:r>
        <w:rPr>
          <w:rFonts w:hint="eastAsia" w:ascii="方正仿宋_GBK" w:hAnsi="方正仿宋_GBK" w:eastAsia="方正仿宋_GBK" w:cs="方正仿宋_GBK"/>
          <w:b w:val="0"/>
          <w:bCs w:val="0"/>
          <w:kern w:val="0"/>
          <w:sz w:val="32"/>
          <w:szCs w:val="32"/>
        </w:rPr>
        <w:t xml:space="preserve"> 承诺人签字：</w:t>
      </w:r>
    </w:p>
    <w:p w14:paraId="3F55B8AC">
      <w:pPr>
        <w:widowControl/>
        <w:tabs>
          <w:tab w:val="left" w:pos="7255"/>
        </w:tabs>
        <w:ind w:left="94" w:firstLine="640" w:firstLineChars="200"/>
        <w:jc w:val="right"/>
        <w:rPr>
          <w:rFonts w:hint="eastAsia" w:ascii="方正仿宋_GBK" w:hAnsi="方正仿宋_GBK" w:eastAsia="方正仿宋_GBK" w:cs="方正仿宋_GBK"/>
          <w:b w:val="0"/>
          <w:bCs w:val="0"/>
          <w:kern w:val="0"/>
          <w:sz w:val="32"/>
          <w:szCs w:val="32"/>
        </w:rPr>
      </w:pPr>
      <w:r>
        <w:rPr>
          <w:rFonts w:hint="eastAsia" w:ascii="方正仿宋_GBK" w:hAnsi="方正仿宋_GBK" w:eastAsia="方正仿宋_GBK" w:cs="方正仿宋_GBK"/>
          <w:b w:val="0"/>
          <w:bCs w:val="0"/>
          <w:kern w:val="0"/>
          <w:sz w:val="32"/>
          <w:szCs w:val="32"/>
        </w:rPr>
        <w:t xml:space="preserve">                         年    月   日</w:t>
      </w:r>
    </w:p>
    <w:p w14:paraId="3180770F">
      <w:pPr>
        <w:spacing w:line="360" w:lineRule="auto"/>
        <w:ind w:firstLine="640" w:firstLineChars="200"/>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B0604020202020204"/>
    <w:charset w:val="86"/>
    <w:family w:val="auto"/>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1ZTcwMWVhMTcwODY5YzhhYmI1YTgwMzgyOWI5YTQifQ=="/>
  </w:docVars>
  <w:rsids>
    <w:rsidRoot w:val="1CA925DF"/>
    <w:rsid w:val="00456B21"/>
    <w:rsid w:val="004A2183"/>
    <w:rsid w:val="00602290"/>
    <w:rsid w:val="00786100"/>
    <w:rsid w:val="1A7976D4"/>
    <w:rsid w:val="1CA925DF"/>
    <w:rsid w:val="3F582FC4"/>
    <w:rsid w:val="405F3E75"/>
    <w:rsid w:val="43BE0B5B"/>
    <w:rsid w:val="45A439F9"/>
    <w:rsid w:val="64F06B0F"/>
    <w:rsid w:val="65A4434E"/>
    <w:rsid w:val="6BC34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1598</Words>
  <Characters>1604</Characters>
  <Lines>4</Lines>
  <Paragraphs>1</Paragraphs>
  <TotalTime>5</TotalTime>
  <ScaleCrop>false</ScaleCrop>
  <LinksUpToDate>false</LinksUpToDate>
  <CharactersWithSpaces>1710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2023-03-24T09:31:00Z</dcterms:created>
  <dc:creator>Administrator</dc:creator>
  <cp:lastModifiedBy>KiKi小菲</cp:lastModifiedBy>
  <cp:lastPrinted>2023-03-27T07:39:00Z</cp:lastPrinted>
  <dcterms:modified xsi:type="dcterms:W3CDTF">2024-10-18T02:37:11Z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1480E6C4BB024E699A180E00BFAD6E76</vt:lpwstr>
  </property>
</Properties>
</file>