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DB1B9">
      <w:pPr>
        <w:spacing w:line="360" w:lineRule="auto"/>
        <w:jc w:val="center"/>
        <w:rPr>
          <w:rFonts w:ascii="方正小标宋简体" w:hAnsi="宋体" w:eastAsia="方正小标宋简体"/>
          <w:bCs/>
          <w:sz w:val="44"/>
          <w:szCs w:val="44"/>
        </w:rPr>
      </w:pPr>
      <w:r>
        <w:rPr>
          <w:rFonts w:hint="eastAsia" w:ascii="方正小标宋_GBK" w:hAnsi="方正小标宋_GBK" w:eastAsia="方正小标宋_GBK" w:cs="方正小标宋_GBK"/>
          <w:kern w:val="0"/>
          <w:sz w:val="44"/>
          <w:szCs w:val="44"/>
          <w:lang w:eastAsia="zh-CN"/>
        </w:rPr>
        <w:t>设立（变更）承诺函</w:t>
      </w:r>
    </w:p>
    <w:p w14:paraId="77D1B934">
      <w:pPr>
        <w:spacing w:line="480" w:lineRule="exact"/>
        <w:rPr>
          <w:b/>
          <w:sz w:val="28"/>
        </w:rPr>
      </w:pPr>
    </w:p>
    <w:p w14:paraId="55658BB1">
      <w:pPr>
        <w:spacing w:line="600" w:lineRule="exact"/>
        <w:ind w:firstLine="480"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XX、XX系重庆XX私募证券投资基金管理有限公司（以下简称该</w:t>
      </w:r>
      <w:r>
        <w:rPr>
          <w:rFonts w:hint="eastAsia" w:ascii="方正仿宋_GBK" w:hAnsi="方正仿宋_GBK" w:eastAsia="方正仿宋_GBK" w:cs="方正仿宋_GBK"/>
          <w:color w:val="000000"/>
          <w:sz w:val="32"/>
          <w:szCs w:val="32"/>
          <w:lang w:eastAsia="zh-CN"/>
        </w:rPr>
        <w:t>企业</w:t>
      </w:r>
      <w:r>
        <w:rPr>
          <w:rFonts w:hint="eastAsia" w:ascii="方正仿宋_GBK" w:hAnsi="方正仿宋_GBK" w:eastAsia="方正仿宋_GBK" w:cs="方正仿宋_GBK"/>
          <w:color w:val="000000"/>
          <w:sz w:val="32"/>
          <w:szCs w:val="32"/>
        </w:rPr>
        <w:t>）的投资者，现就</w:t>
      </w:r>
      <w:r>
        <w:rPr>
          <w:rFonts w:hint="eastAsia" w:ascii="方正仿宋_GBK" w:hAnsi="方正仿宋_GBK" w:eastAsia="方正仿宋_GBK" w:cs="方正仿宋_GBK"/>
          <w:color w:val="000000"/>
          <w:sz w:val="32"/>
          <w:szCs w:val="32"/>
          <w:lang w:eastAsia="zh-CN"/>
        </w:rPr>
        <w:t>其</w:t>
      </w:r>
      <w:r>
        <w:rPr>
          <w:rFonts w:hint="eastAsia" w:ascii="方正仿宋_GBK" w:hAnsi="方正仿宋_GBK" w:eastAsia="方正仿宋_GBK" w:cs="方正仿宋_GBK"/>
          <w:color w:val="000000"/>
          <w:sz w:val="32"/>
          <w:szCs w:val="32"/>
        </w:rPr>
        <w:t>设立</w:t>
      </w:r>
      <w:r>
        <w:rPr>
          <w:rFonts w:hint="eastAsia" w:ascii="方正仿宋_GBK" w:hAnsi="方正仿宋_GBK" w:eastAsia="方正仿宋_GBK" w:cs="方正仿宋_GBK"/>
          <w:color w:val="000000"/>
          <w:sz w:val="32"/>
          <w:szCs w:val="32"/>
          <w:lang w:eastAsia="zh-CN"/>
        </w:rPr>
        <w:t>（变更）</w:t>
      </w:r>
      <w:r>
        <w:rPr>
          <w:rFonts w:hint="eastAsia" w:ascii="方正仿宋_GBK" w:hAnsi="方正仿宋_GBK" w:eastAsia="方正仿宋_GBK" w:cs="方正仿宋_GBK"/>
          <w:color w:val="000000"/>
          <w:sz w:val="32"/>
          <w:szCs w:val="32"/>
        </w:rPr>
        <w:t>私募证券投资基金管理公司时的有关事宜承诺如下：</w:t>
      </w:r>
    </w:p>
    <w:p w14:paraId="18F6FF27">
      <w:pPr>
        <w:spacing w:line="600" w:lineRule="exact"/>
        <w:ind w:firstLine="480"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一、企业以开展私募基金管理业务为目的而设立，自市场主体工商登记之日起12个月内完成私募基金管理人登记，如不能按时完成私募基金管理人登记，则主动注销或变更企业名称及经营范围。未完成私募基金管理人登记前，不开展私募基金管理业务。</w:t>
      </w:r>
    </w:p>
    <w:p w14:paraId="7A930573">
      <w:pPr>
        <w:spacing w:line="600" w:lineRule="exact"/>
        <w:ind w:firstLine="480"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二、企业设立后，将具备独立、稳定的营业场所，原则上不得使用酒店、共享空间等稳定性不足的场地作为营业场所；不得存在与其股东、关联方、实际控制人等混同办公的情形；营业场所系租赁所得的，租赁期原则上应当在1年以上。</w:t>
      </w:r>
    </w:p>
    <w:p w14:paraId="6DD9E98F">
      <w:pPr>
        <w:spacing w:line="600" w:lineRule="exact"/>
        <w:ind w:firstLine="480"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三、企业按照《私募投资基金登记备案办法》相关要求，签订劳动合同并缴纳社保的正式员工，签订劳动合同或者劳务合同的外籍员工、退休返聘员工，和国企全职委派的高级管理人员等专职工作人员不少于五人。</w:t>
      </w:r>
    </w:p>
    <w:p w14:paraId="38F789F7">
      <w:pPr>
        <w:spacing w:line="600" w:lineRule="exact"/>
        <w:ind w:firstLine="480"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四、企业设立后，建立科学合理、运转有效的合规管理和风险控制制度，包括运营风险控制制度、信息披露制度、机构内部交易记录制度、关联交易管理制度、防范内幕交易及利益输送等制度、私募基金宣传推介及募集相关规范制度等。</w:t>
      </w:r>
    </w:p>
    <w:p w14:paraId="0D02BB8E">
      <w:pPr>
        <w:spacing w:line="600" w:lineRule="exact"/>
        <w:ind w:firstLine="480"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五、本次设立登记提供的所有材料真实、准确、完整，不存在任何虚假记载、误导性陈述或重大遗漏等。</w:t>
      </w:r>
    </w:p>
    <w:p w14:paraId="5EA1C31B">
      <w:pPr>
        <w:spacing w:line="600" w:lineRule="exact"/>
        <w:ind w:firstLine="480" w:firstLineChars="150"/>
        <w:rPr>
          <w:rFonts w:hint="eastAsia" w:ascii="方正仿宋_GBK" w:hAnsi="方正仿宋_GBK" w:eastAsia="方正仿宋_GBK" w:cs="方正仿宋_GBK"/>
          <w:color w:val="000000"/>
          <w:sz w:val="32"/>
          <w:szCs w:val="32"/>
        </w:rPr>
      </w:pPr>
    </w:p>
    <w:p w14:paraId="06B3D7FB">
      <w:pPr>
        <w:spacing w:line="600" w:lineRule="exact"/>
        <w:ind w:firstLine="480"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 xml:space="preserve">   如在通</w:t>
      </w:r>
      <w:r>
        <w:rPr>
          <w:rFonts w:hint="eastAsia" w:ascii="方正仿宋_GBK" w:hAnsi="方正仿宋_GBK" w:eastAsia="方正仿宋_GBK" w:cs="方正仿宋_GBK"/>
          <w:color w:val="auto"/>
          <w:sz w:val="32"/>
          <w:szCs w:val="32"/>
        </w:rPr>
        <w:t>过</w:t>
      </w:r>
      <w:r>
        <w:rPr>
          <w:rFonts w:hint="eastAsia" w:ascii="方正仿宋_GBK" w:hAnsi="方正仿宋_GBK" w:eastAsia="方正仿宋_GBK" w:cs="方正仿宋_GBK"/>
          <w:color w:val="auto"/>
          <w:sz w:val="32"/>
          <w:szCs w:val="32"/>
          <w:lang w:eastAsia="zh-CN"/>
        </w:rPr>
        <w:t>研判会商</w:t>
      </w:r>
      <w:r>
        <w:rPr>
          <w:rFonts w:hint="eastAsia" w:ascii="方正仿宋_GBK" w:hAnsi="方正仿宋_GBK" w:eastAsia="方正仿宋_GBK" w:cs="方正仿宋_GBK"/>
          <w:color w:val="auto"/>
          <w:sz w:val="32"/>
          <w:szCs w:val="32"/>
        </w:rPr>
        <w:t>工作</w:t>
      </w:r>
      <w:r>
        <w:rPr>
          <w:rFonts w:hint="eastAsia" w:ascii="方正仿宋_GBK" w:hAnsi="方正仿宋_GBK" w:eastAsia="方正仿宋_GBK" w:cs="方正仿宋_GBK"/>
          <w:color w:val="000000"/>
          <w:sz w:val="32"/>
          <w:szCs w:val="32"/>
        </w:rPr>
        <w:t>后，以及在后续完成企业登记设立、完成基金业协会登记备案和开展私募基金管理业务过程中，如违反上述承诺，企业及出资方将承担相应责任。</w:t>
      </w:r>
    </w:p>
    <w:p w14:paraId="47230E06">
      <w:pPr>
        <w:spacing w:line="600" w:lineRule="exact"/>
        <w:ind w:firstLine="480"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 xml:space="preserve">    </w:t>
      </w:r>
    </w:p>
    <w:p w14:paraId="61DC85B8">
      <w:pPr>
        <w:spacing w:line="600" w:lineRule="exact"/>
        <w:ind w:firstLine="480" w:firstLineChars="150"/>
        <w:rPr>
          <w:rFonts w:hint="eastAsia" w:ascii="方正仿宋_GBK" w:hAnsi="方正仿宋_GBK" w:eastAsia="方正仿宋_GBK" w:cs="方正仿宋_GBK"/>
          <w:color w:val="000000"/>
          <w:sz w:val="32"/>
          <w:szCs w:val="32"/>
        </w:rPr>
      </w:pPr>
    </w:p>
    <w:p w14:paraId="6882E11A">
      <w:pPr>
        <w:spacing w:line="600" w:lineRule="exact"/>
        <w:ind w:firstLine="480" w:firstLineChars="150"/>
        <w:jc w:val="right"/>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全体投资者签字（盖章）：</w:t>
      </w:r>
    </w:p>
    <w:p w14:paraId="17AC2373">
      <w:pPr>
        <w:spacing w:line="600" w:lineRule="exact"/>
        <w:ind w:firstLine="480" w:firstLineChars="150"/>
        <w:jc w:val="right"/>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 xml:space="preserve">                                年   月   日</w:t>
      </w:r>
    </w:p>
    <w:p w14:paraId="592DB956">
      <w:pPr>
        <w:spacing w:line="360" w:lineRule="auto"/>
        <w:ind w:firstLine="640" w:firstLineChars="200"/>
        <w:rPr>
          <w:rFonts w:hint="eastAsia" w:ascii="仿宋_GB2312" w:hAnsi="仿宋_GB2312" w:eastAsia="仿宋_GB2312" w:cs="仿宋_GB2312"/>
          <w:sz w:val="32"/>
          <w:szCs w:val="32"/>
        </w:rPr>
      </w:pPr>
    </w:p>
    <w:p w14:paraId="79C8CA3F">
      <w:pPr>
        <w:spacing w:line="360" w:lineRule="auto"/>
        <w:ind w:firstLine="640" w:firstLineChars="200"/>
        <w:rPr>
          <w:rFonts w:hint="eastAsia" w:ascii="仿宋_GB2312" w:hAnsi="仿宋_GB2312" w:eastAsia="仿宋_GB2312" w:cs="仿宋_GB2312"/>
          <w:sz w:val="32"/>
          <w:szCs w:val="32"/>
        </w:rPr>
      </w:pPr>
    </w:p>
    <w:p w14:paraId="1EB80775">
      <w:pPr>
        <w:spacing w:line="360" w:lineRule="auto"/>
        <w:ind w:firstLine="640" w:firstLineChars="200"/>
        <w:rPr>
          <w:rFonts w:hint="eastAsia" w:ascii="仿宋_GB2312" w:hAnsi="仿宋_GB2312" w:eastAsia="仿宋_GB2312" w:cs="仿宋_GB2312"/>
          <w:sz w:val="32"/>
          <w:szCs w:val="32"/>
        </w:rPr>
      </w:pPr>
    </w:p>
    <w:p w14:paraId="036926F4">
      <w:pPr>
        <w:spacing w:line="360" w:lineRule="auto"/>
        <w:ind w:firstLine="640" w:firstLineChars="200"/>
        <w:rPr>
          <w:rFonts w:hint="eastAsia" w:ascii="仿宋_GB2312" w:hAnsi="仿宋_GB2312" w:eastAsia="仿宋_GB2312" w:cs="仿宋_GB2312"/>
          <w:sz w:val="32"/>
          <w:szCs w:val="32"/>
        </w:rPr>
      </w:pPr>
    </w:p>
    <w:p w14:paraId="07156ACD">
      <w:pPr>
        <w:spacing w:line="360" w:lineRule="auto"/>
        <w:ind w:firstLine="640" w:firstLineChars="200"/>
        <w:rPr>
          <w:rFonts w:hint="eastAsia" w:ascii="仿宋_GB2312" w:hAnsi="仿宋_GB2312" w:eastAsia="仿宋_GB2312" w:cs="仿宋_GB2312"/>
          <w:sz w:val="32"/>
          <w:szCs w:val="32"/>
        </w:rPr>
      </w:pPr>
    </w:p>
    <w:p w14:paraId="72AE8F2E">
      <w:pPr>
        <w:spacing w:line="360" w:lineRule="auto"/>
        <w:ind w:firstLine="640" w:firstLineChars="200"/>
        <w:rPr>
          <w:rFonts w:hint="eastAsia" w:ascii="仿宋_GB2312" w:hAnsi="仿宋_GB2312" w:eastAsia="仿宋_GB2312" w:cs="仿宋_GB2312"/>
          <w:sz w:val="32"/>
          <w:szCs w:val="32"/>
        </w:rPr>
      </w:pPr>
    </w:p>
    <w:p w14:paraId="17596965">
      <w:pPr>
        <w:spacing w:line="360" w:lineRule="auto"/>
        <w:ind w:firstLine="640" w:firstLineChars="200"/>
        <w:rPr>
          <w:rFonts w:hint="eastAsia" w:ascii="仿宋_GB2312" w:hAnsi="仿宋_GB2312" w:eastAsia="仿宋_GB2312" w:cs="仿宋_GB2312"/>
          <w:sz w:val="32"/>
          <w:szCs w:val="32"/>
        </w:rPr>
      </w:pPr>
    </w:p>
    <w:p w14:paraId="37E22078">
      <w:pPr>
        <w:spacing w:line="360" w:lineRule="auto"/>
        <w:ind w:firstLine="640" w:firstLineChars="200"/>
        <w:rPr>
          <w:rFonts w:hint="eastAsia" w:ascii="仿宋_GB2312" w:hAnsi="仿宋_GB2312" w:eastAsia="仿宋_GB2312" w:cs="仿宋_GB2312"/>
          <w:sz w:val="32"/>
          <w:szCs w:val="32"/>
        </w:rPr>
      </w:pPr>
    </w:p>
    <w:p w14:paraId="14C4836A">
      <w:pPr>
        <w:spacing w:line="360" w:lineRule="auto"/>
        <w:ind w:firstLine="640" w:firstLineChars="200"/>
        <w:rPr>
          <w:rFonts w:hint="eastAsia" w:ascii="仿宋_GB2312" w:hAnsi="仿宋_GB2312" w:eastAsia="仿宋_GB2312" w:cs="仿宋_GB2312"/>
          <w:sz w:val="32"/>
          <w:szCs w:val="32"/>
        </w:rPr>
      </w:pPr>
    </w:p>
    <w:p w14:paraId="40549418">
      <w:pPr>
        <w:spacing w:line="360" w:lineRule="auto"/>
        <w:ind w:firstLine="640" w:firstLineChars="200"/>
        <w:rPr>
          <w:rFonts w:hint="eastAsia" w:ascii="仿宋_GB2312" w:hAnsi="仿宋_GB2312" w:eastAsia="仿宋_GB2312" w:cs="仿宋_GB2312"/>
          <w:sz w:val="32"/>
          <w:szCs w:val="32"/>
        </w:rPr>
      </w:pPr>
    </w:p>
    <w:p w14:paraId="49A6A153">
      <w:pPr>
        <w:spacing w:line="360" w:lineRule="auto"/>
        <w:jc w:val="center"/>
        <w:rPr>
          <w:rFonts w:hint="eastAsia" w:ascii="仿宋_GB2312" w:hAnsi="仿宋_GB2312" w:eastAsia="仿宋_GB2312" w:cs="仿宋_GB2312"/>
          <w:b/>
          <w:sz w:val="44"/>
          <w:szCs w:val="44"/>
          <w:lang w:eastAsia="zh-CN"/>
        </w:rPr>
      </w:pPr>
      <w:r>
        <w:rPr>
          <w:rFonts w:hint="eastAsia" w:ascii="方正小标宋_GBK" w:hAnsi="方正小标宋_GBK" w:eastAsia="方正小标宋_GBK" w:cs="方正小标宋_GBK"/>
          <w:kern w:val="0"/>
          <w:sz w:val="44"/>
          <w:szCs w:val="44"/>
          <w:lang w:eastAsia="zh-CN"/>
        </w:rPr>
        <w:t>高管承诺函</w:t>
      </w:r>
    </w:p>
    <w:p w14:paraId="6B263ABA">
      <w:pPr>
        <w:spacing w:line="360" w:lineRule="auto"/>
        <w:jc w:val="center"/>
        <w:rPr>
          <w:rFonts w:hint="eastAsia" w:ascii="仿宋_GB2312" w:hAnsi="仿宋_GB2312" w:eastAsia="仿宋_GB2312" w:cs="仿宋_GB2312"/>
          <w:b/>
          <w:sz w:val="44"/>
          <w:szCs w:val="44"/>
          <w:lang w:eastAsia="zh-CN"/>
        </w:rPr>
      </w:pPr>
    </w:p>
    <w:p w14:paraId="059F489B">
      <w:pPr>
        <w:spacing w:line="600" w:lineRule="exact"/>
        <w:ind w:firstLine="480" w:firstLineChars="150"/>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rPr>
        <w:t>本人拟任重庆XX私募证券投资基金管理有限公司（以下简称该</w:t>
      </w:r>
      <w:r>
        <w:rPr>
          <w:rFonts w:hint="eastAsia" w:ascii="方正仿宋_GBK" w:hAnsi="方正仿宋_GBK" w:eastAsia="方正仿宋_GBK" w:cs="方正仿宋_GBK"/>
          <w:color w:val="000000"/>
          <w:sz w:val="32"/>
          <w:szCs w:val="32"/>
          <w:lang w:eastAsia="zh-CN"/>
        </w:rPr>
        <w:t>企业</w:t>
      </w:r>
      <w:r>
        <w:rPr>
          <w:rFonts w:hint="eastAsia" w:ascii="方正仿宋_GBK" w:hAnsi="方正仿宋_GBK" w:eastAsia="方正仿宋_GBK" w:cs="方正仿宋_GBK"/>
          <w:color w:val="000000"/>
          <w:sz w:val="32"/>
          <w:szCs w:val="32"/>
        </w:rPr>
        <w:t>）的</w:t>
      </w:r>
      <w:r>
        <w:rPr>
          <w:rFonts w:hint="eastAsia" w:ascii="方正仿宋_GBK" w:hAnsi="方正仿宋_GBK" w:eastAsia="方正仿宋_GBK" w:cs="方正仿宋_GBK"/>
          <w:color w:val="000000"/>
          <w:sz w:val="32"/>
          <w:szCs w:val="32"/>
          <w:lang w:val="en-US" w:eastAsia="zh-CN"/>
        </w:rPr>
        <w:t>xx职务</w:t>
      </w:r>
      <w:r>
        <w:rPr>
          <w:rFonts w:hint="eastAsia" w:ascii="方正仿宋_GBK" w:hAnsi="方正仿宋_GBK" w:eastAsia="方正仿宋_GBK" w:cs="方正仿宋_GBK"/>
          <w:color w:val="000000"/>
          <w:sz w:val="32"/>
          <w:szCs w:val="32"/>
        </w:rPr>
        <w:t>，清晰知晓作为</w:t>
      </w:r>
      <w:r>
        <w:rPr>
          <w:rFonts w:hint="eastAsia" w:ascii="方正仿宋_GBK" w:hAnsi="方正仿宋_GBK" w:eastAsia="方正仿宋_GBK" w:cs="方正仿宋_GBK"/>
          <w:color w:val="000000"/>
          <w:sz w:val="32"/>
          <w:szCs w:val="32"/>
          <w:lang w:eastAsia="zh-CN"/>
        </w:rPr>
        <w:t>私募基金管理企业</w:t>
      </w:r>
      <w:r>
        <w:rPr>
          <w:rFonts w:hint="eastAsia" w:ascii="方正仿宋_GBK" w:hAnsi="方正仿宋_GBK" w:eastAsia="方正仿宋_GBK" w:cs="方正仿宋_GBK"/>
          <w:color w:val="000000"/>
          <w:sz w:val="32"/>
          <w:szCs w:val="32"/>
        </w:rPr>
        <w:t>高级管理人员应具备的条件，以及应承担的责任和义务。现郑重承诺如下</w:t>
      </w:r>
      <w:r>
        <w:rPr>
          <w:rFonts w:hint="eastAsia" w:ascii="方正仿宋_GBK" w:hAnsi="方正仿宋_GBK" w:eastAsia="方正仿宋_GBK" w:cs="方正仿宋_GBK"/>
          <w:color w:val="000000"/>
          <w:sz w:val="32"/>
          <w:szCs w:val="32"/>
          <w:lang w:eastAsia="zh-CN"/>
        </w:rPr>
        <w:t>：</w:t>
      </w:r>
    </w:p>
    <w:p w14:paraId="0691CCA5">
      <w:pPr>
        <w:spacing w:line="600" w:lineRule="exact"/>
        <w:ind w:firstLine="480"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eastAsia="zh-CN"/>
        </w:rPr>
        <w:t>一、本人不存在以下情形</w:t>
      </w:r>
      <w:r>
        <w:rPr>
          <w:rFonts w:hint="eastAsia" w:ascii="方正仿宋_GBK" w:hAnsi="方正仿宋_GBK" w:eastAsia="方正仿宋_GBK" w:cs="方正仿宋_GBK"/>
          <w:color w:val="000000"/>
          <w:sz w:val="32"/>
          <w:szCs w:val="32"/>
        </w:rPr>
        <w:t>：</w:t>
      </w:r>
      <w:bookmarkStart w:id="0" w:name="_GoBack"/>
      <w:bookmarkEnd w:id="0"/>
    </w:p>
    <w:p w14:paraId="298B43CD">
      <w:pPr>
        <w:spacing w:line="600" w:lineRule="exact"/>
        <w:ind w:firstLine="480"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（一）因犯有贪污贿赂、渎职、侵犯财产罪或者破坏社会主义市场经济秩序罪，被判处刑罚；</w:t>
      </w:r>
    </w:p>
    <w:p w14:paraId="796AF4AF">
      <w:pPr>
        <w:spacing w:line="600" w:lineRule="exact"/>
        <w:ind w:firstLine="480"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（二）最近3年因重大违法违规行为被金融管理部门处以行政处罚；</w:t>
      </w:r>
    </w:p>
    <w:p w14:paraId="55262CBB">
      <w:pPr>
        <w:spacing w:line="600" w:lineRule="exact"/>
        <w:ind w:firstLine="480"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（三）被中国证监会采取市场禁入措施，执行期尚未届满；</w:t>
      </w:r>
    </w:p>
    <w:p w14:paraId="3B0FABFF">
      <w:pPr>
        <w:spacing w:line="600" w:lineRule="exact"/>
        <w:ind w:firstLine="480"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（四）最近3年被中国证监会采取行政监管措施或者被协会采取纪律处分措施，情节严重；</w:t>
      </w:r>
    </w:p>
    <w:p w14:paraId="0509408B">
      <w:pPr>
        <w:spacing w:line="600" w:lineRule="exact"/>
        <w:ind w:firstLine="480"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五）对所任职的公司、企业因经营不善破产清算或者因违法被吊销营业执照负有个人责任的董事、监事、高级管理人员、执行事务合伙人或其委派代表，自该公司、企业破产清算终结或者被吊销营业执照之日起未逾5年；</w:t>
      </w:r>
    </w:p>
    <w:p w14:paraId="3E735B3A">
      <w:pPr>
        <w:spacing w:line="600" w:lineRule="exact"/>
        <w:ind w:firstLine="480"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（六）因违法行为或者违纪行为被开除的基金管理人、基金托管人、证券期货交易场所、证券公司、证券登记结算机构、期货公司等机构的从业人员和国家机关工作人员，自被开除之日起未逾 5 年；</w:t>
      </w:r>
    </w:p>
    <w:p w14:paraId="0E0A6126">
      <w:pPr>
        <w:spacing w:line="600" w:lineRule="exact"/>
        <w:ind w:firstLine="480"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（七）因违法行为被吊销执业证书或者被取消资格的律师、注册会计师和资产评估等机构的从业人员、投资咨询从业人员，自被吊销执业证书或者被取消资格之日起未逾 5 年；</w:t>
      </w:r>
    </w:p>
    <w:p w14:paraId="79326520">
      <w:pPr>
        <w:spacing w:line="600" w:lineRule="exact"/>
        <w:ind w:firstLine="480"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（八）因违反诚实信用、公序良俗等职业道德或者存在重大违法违规行为，引发社会重大质疑或者产生严重社会负面影响且尚未消除；对所任职企业的重大违规行为或者重大风险负有主要责任未逾 3 年；</w:t>
      </w:r>
    </w:p>
    <w:p w14:paraId="2134FF8B">
      <w:pPr>
        <w:spacing w:line="600" w:lineRule="exact"/>
        <w:ind w:firstLine="480"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（九）因</w:t>
      </w:r>
      <w:r>
        <w:rPr>
          <w:rFonts w:hint="eastAsia" w:ascii="方正仿宋_GBK" w:hAnsi="方正仿宋_GBK" w:eastAsia="方正仿宋_GBK" w:cs="方正仿宋_GBK"/>
          <w:color w:val="000000"/>
          <w:sz w:val="32"/>
          <w:szCs w:val="32"/>
          <w:lang w:eastAsia="zh-CN"/>
        </w:rPr>
        <w:t>《私募投资基金登记备案办法》</w:t>
      </w:r>
      <w:r>
        <w:rPr>
          <w:rFonts w:hint="eastAsia" w:ascii="方正仿宋_GBK" w:hAnsi="方正仿宋_GBK" w:eastAsia="方正仿宋_GBK" w:cs="方正仿宋_GBK"/>
          <w:color w:val="000000"/>
          <w:sz w:val="32"/>
          <w:szCs w:val="32"/>
        </w:rPr>
        <w:t>第二十五条第一款第六项、第八项所列情形被终止私募基金管理人登记的机构的控股股东、实际控制人、普通合伙人、法定代表人、执行事务合伙人或其委派代表、负有责任的高级管理人员和直接责任人员，自该机构被终止私募基金管理人登记之日起未逾 3 年；</w:t>
      </w:r>
    </w:p>
    <w:p w14:paraId="073095F5">
      <w:pPr>
        <w:spacing w:line="600" w:lineRule="exact"/>
        <w:ind w:firstLine="480"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（十）因</w:t>
      </w:r>
      <w:r>
        <w:rPr>
          <w:rFonts w:hint="eastAsia" w:ascii="方正仿宋_GBK" w:hAnsi="方正仿宋_GBK" w:eastAsia="方正仿宋_GBK" w:cs="方正仿宋_GBK"/>
          <w:color w:val="000000"/>
          <w:sz w:val="32"/>
          <w:szCs w:val="32"/>
          <w:lang w:eastAsia="zh-CN"/>
        </w:rPr>
        <w:t>《私募投资基金登记备案办法》</w:t>
      </w:r>
      <w:r>
        <w:rPr>
          <w:rFonts w:hint="eastAsia" w:ascii="方正仿宋_GBK" w:hAnsi="方正仿宋_GBK" w:eastAsia="方正仿宋_GBK" w:cs="方正仿宋_GBK"/>
          <w:color w:val="000000"/>
          <w:sz w:val="32"/>
          <w:szCs w:val="32"/>
        </w:rPr>
        <w:t>第七十七条所列情形被注销登记的私募基金管理人的控股股东、实际控制人、普通合伙人、法定代表人、执行事务合伙人或其委派代表、负有责任的高级管理人员和直接责任人员，自该私募基金管理人被注销登记之日起未逾 3 年；</w:t>
      </w:r>
    </w:p>
    <w:p w14:paraId="14FB63BB">
      <w:pPr>
        <w:spacing w:line="600" w:lineRule="exact"/>
        <w:ind w:firstLine="480"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（十一）所负债务数额较大且到期未清偿，或者被列为严重失信人或者被纳入失信被执行人名单；</w:t>
      </w:r>
    </w:p>
    <w:p w14:paraId="59A49B54">
      <w:pPr>
        <w:spacing w:line="600" w:lineRule="exact"/>
        <w:ind w:firstLine="480"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（十二）法律、行政法规、中国证监会和协会规定的其他情形。</w:t>
      </w:r>
    </w:p>
    <w:p w14:paraId="0165D9B4">
      <w:pPr>
        <w:spacing w:line="600" w:lineRule="exact"/>
        <w:ind w:firstLine="480"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eastAsia="zh-CN"/>
        </w:rPr>
        <w:t>二、本次</w:t>
      </w:r>
      <w:r>
        <w:rPr>
          <w:rFonts w:hint="eastAsia" w:ascii="方正仿宋_GBK" w:hAnsi="方正仿宋_GBK" w:eastAsia="方正仿宋_GBK" w:cs="方正仿宋_GBK"/>
          <w:color w:val="000000"/>
          <w:sz w:val="32"/>
          <w:szCs w:val="32"/>
        </w:rPr>
        <w:t>承诺提供的基本信息、诚信信息、兼职</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rPr>
        <w:t>挂职信息</w:t>
      </w:r>
      <w:r>
        <w:rPr>
          <w:rFonts w:hint="eastAsia" w:ascii="方正仿宋_GBK" w:hAnsi="方正仿宋_GBK" w:eastAsia="方正仿宋_GBK" w:cs="方正仿宋_GBK"/>
          <w:color w:val="000000"/>
          <w:sz w:val="32"/>
          <w:szCs w:val="32"/>
          <w:lang w:eastAsia="zh-CN"/>
        </w:rPr>
        <w:t>及</w:t>
      </w:r>
      <w:r>
        <w:rPr>
          <w:rFonts w:hint="eastAsia" w:ascii="方正仿宋_GBK" w:hAnsi="方正仿宋_GBK" w:eastAsia="方正仿宋_GBK" w:cs="方正仿宋_GBK"/>
          <w:color w:val="000000"/>
          <w:sz w:val="32"/>
          <w:szCs w:val="32"/>
        </w:rPr>
        <w:t>投资管理业绩证明</w:t>
      </w:r>
      <w:r>
        <w:rPr>
          <w:rFonts w:hint="eastAsia" w:ascii="方正仿宋_GBK" w:hAnsi="方正仿宋_GBK" w:eastAsia="方正仿宋_GBK" w:cs="方正仿宋_GBK"/>
          <w:color w:val="000000"/>
          <w:sz w:val="32"/>
          <w:szCs w:val="32"/>
          <w:lang w:eastAsia="zh-CN"/>
        </w:rPr>
        <w:t>等材料</w:t>
      </w:r>
      <w:r>
        <w:rPr>
          <w:rFonts w:hint="eastAsia" w:ascii="方正仿宋_GBK" w:hAnsi="方正仿宋_GBK" w:eastAsia="方正仿宋_GBK" w:cs="方正仿宋_GBK"/>
          <w:color w:val="000000"/>
          <w:sz w:val="32"/>
          <w:szCs w:val="32"/>
        </w:rPr>
        <w:t>真实、准确、完整，不存在虚假或误导性陈述。</w:t>
      </w:r>
      <w:r>
        <w:rPr>
          <w:rFonts w:hint="eastAsia" w:ascii="方正仿宋_GBK" w:hAnsi="方正仿宋_GBK" w:eastAsia="方正仿宋_GBK" w:cs="方正仿宋_GBK"/>
          <w:color w:val="000000"/>
          <w:sz w:val="32"/>
          <w:szCs w:val="32"/>
        </w:rPr>
        <w:tab/>
      </w:r>
    </w:p>
    <w:p w14:paraId="7B3D5908">
      <w:pPr>
        <w:spacing w:line="600" w:lineRule="exact"/>
        <w:ind w:firstLine="480" w:firstLineChars="15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ab/>
      </w:r>
    </w:p>
    <w:p w14:paraId="3BF19940">
      <w:pPr>
        <w:spacing w:line="600" w:lineRule="exact"/>
        <w:ind w:firstLine="480" w:firstLineChars="150"/>
        <w:rPr>
          <w:rFonts w:hint="eastAsia" w:ascii="方正仿宋_GBK" w:hAnsi="方正仿宋_GBK" w:eastAsia="方正仿宋_GBK" w:cs="方正仿宋_GBK"/>
          <w:color w:val="000000"/>
          <w:sz w:val="32"/>
          <w:szCs w:val="32"/>
        </w:rPr>
      </w:pPr>
    </w:p>
    <w:p w14:paraId="71680787">
      <w:pPr>
        <w:spacing w:line="600" w:lineRule="exact"/>
        <w:ind w:firstLine="480" w:firstLineChars="150"/>
        <w:jc w:val="right"/>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 xml:space="preserve">                   承诺人签字：</w:t>
      </w:r>
    </w:p>
    <w:p w14:paraId="3E975288">
      <w:pPr>
        <w:spacing w:line="600" w:lineRule="exact"/>
        <w:ind w:firstLine="480" w:firstLineChars="150"/>
        <w:jc w:val="right"/>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 xml:space="preserve">                         年    月   日</w:t>
      </w:r>
    </w:p>
    <w:p w14:paraId="1678D25F">
      <w:pPr>
        <w:spacing w:line="360" w:lineRule="auto"/>
        <w:ind w:firstLine="640" w:firstLineChars="200"/>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B0604020202020204"/>
    <w:charset w:val="86"/>
    <w:family w:val="auto"/>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1ZTcwMWVhMTcwODY5YzhhYmI1YTgwMzgyOWI5YTQifQ=="/>
  </w:docVars>
  <w:rsids>
    <w:rsidRoot w:val="1CA925DF"/>
    <w:rsid w:val="00456B21"/>
    <w:rsid w:val="004A2183"/>
    <w:rsid w:val="00602290"/>
    <w:rsid w:val="00786100"/>
    <w:rsid w:val="161829FD"/>
    <w:rsid w:val="1A7976D4"/>
    <w:rsid w:val="1CA925DF"/>
    <w:rsid w:val="27F40C76"/>
    <w:rsid w:val="3F582FC4"/>
    <w:rsid w:val="405F3E75"/>
    <w:rsid w:val="58C11B0F"/>
    <w:rsid w:val="678D2212"/>
    <w:rsid w:val="7D5C36C6"/>
    <w:rsid w:val="7F297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1608</Words>
  <Characters>1614</Characters>
  <Lines>4</Lines>
  <Paragraphs>1</Paragraphs>
  <TotalTime>0</TotalTime>
  <ScaleCrop>false</ScaleCrop>
  <LinksUpToDate>false</LinksUpToDate>
  <CharactersWithSpaces>1722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2023-03-24T09:31:00Z</dcterms:created>
  <dc:creator>Administrator</dc:creator>
  <cp:lastModifiedBy>KiKi小菲</cp:lastModifiedBy>
  <cp:lastPrinted>2023-03-27T07:39:00Z</cp:lastPrinted>
  <dcterms:modified xsi:type="dcterms:W3CDTF">2024-10-18T03:38:19Z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1480E6C4BB024E699A180E00BFAD6E76</vt:lpwstr>
  </property>
</Properties>
</file>